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D4" w:rsidRPr="004C3F92" w:rsidRDefault="007953E0">
      <w:pPr>
        <w:pStyle w:val="Textoindependiente"/>
        <w:spacing w:line="480" w:lineRule="auto"/>
      </w:pPr>
      <w:r w:rsidRPr="004C3F92">
        <w:t xml:space="preserve">MOLECULAR MODELING AND </w:t>
      </w:r>
      <w:r w:rsidR="000E37D4" w:rsidRPr="004C3F92">
        <w:t>CHIRAL SEPARATION OF BENZODIAZEPINES BY CAPILLARY ELECTROPHORESIS USING HIGHLY SULFATED CYCLODEXTRINS</w:t>
      </w:r>
    </w:p>
    <w:p w:rsidR="000E37D4" w:rsidRPr="004C3F92" w:rsidRDefault="000E37D4" w:rsidP="00A20182">
      <w:pPr>
        <w:pStyle w:val="Textoindependiente"/>
        <w:spacing w:line="480" w:lineRule="auto"/>
        <w:rPr>
          <w:i/>
          <w:position w:val="6"/>
        </w:rPr>
      </w:pPr>
      <w:r w:rsidRPr="004C3F92">
        <w:t>María Gabriela Vargas</w:t>
      </w:r>
      <w:r w:rsidR="00FB0617" w:rsidRPr="004C3F92">
        <w:t>-Martínez</w:t>
      </w:r>
      <w:r w:rsidR="00A20182" w:rsidRPr="004C3F92">
        <w:rPr>
          <w:vertAlign w:val="superscript"/>
        </w:rPr>
        <w:t>1</w:t>
      </w:r>
      <w:r w:rsidR="004D5D68" w:rsidRPr="004C3F92">
        <w:rPr>
          <w:i/>
          <w:position w:val="6"/>
          <w:sz w:val="24"/>
        </w:rPr>
        <w:t>*</w:t>
      </w:r>
      <w:r w:rsidRPr="004C3F92">
        <w:t>, Guillermo Ramírez-Galicia</w:t>
      </w:r>
      <w:r w:rsidR="00A20182" w:rsidRPr="004C3F92">
        <w:rPr>
          <w:vertAlign w:val="superscript"/>
        </w:rPr>
        <w:t>2</w:t>
      </w:r>
    </w:p>
    <w:p w:rsidR="00A20182" w:rsidRPr="004C3F92" w:rsidRDefault="00A20182" w:rsidP="00A20182">
      <w:pPr>
        <w:pStyle w:val="Textoindependiente2"/>
        <w:spacing w:line="480" w:lineRule="auto"/>
      </w:pPr>
      <w:r w:rsidRPr="004C3F92">
        <w:rPr>
          <w:i/>
          <w:vertAlign w:val="superscript"/>
        </w:rPr>
        <w:t>1</w:t>
      </w:r>
      <w:r w:rsidR="00FB0617" w:rsidRPr="004C3F92">
        <w:rPr>
          <w:i/>
          <w:vertAlign w:val="superscript"/>
        </w:rPr>
        <w:t xml:space="preserve"> </w:t>
      </w:r>
      <w:r w:rsidR="000E37D4" w:rsidRPr="004C3F92">
        <w:t xml:space="preserve">Faculty of Advanced Studies-Cuautitlan, National </w:t>
      </w:r>
      <w:r w:rsidR="00FB0617" w:rsidRPr="004C3F92">
        <w:t>Autonomous University of Mexico</w:t>
      </w:r>
      <w:r w:rsidR="00247949" w:rsidRPr="004C3F92">
        <w:t>.</w:t>
      </w:r>
      <w:r w:rsidR="00FB0617" w:rsidRPr="004C3F92">
        <w:t xml:space="preserve"> </w:t>
      </w:r>
    </w:p>
    <w:p w:rsidR="000E37D4" w:rsidRPr="004C3F92" w:rsidRDefault="00A20182" w:rsidP="00A20182">
      <w:pPr>
        <w:pStyle w:val="Textoindependiente2"/>
        <w:spacing w:line="480" w:lineRule="auto"/>
      </w:pPr>
      <w:r w:rsidRPr="004C3F92">
        <w:rPr>
          <w:i/>
          <w:vertAlign w:val="superscript"/>
        </w:rPr>
        <w:t>2</w:t>
      </w:r>
      <w:r w:rsidR="00FB0617" w:rsidRPr="004C3F92">
        <w:rPr>
          <w:i/>
          <w:vertAlign w:val="superscript"/>
        </w:rPr>
        <w:t xml:space="preserve"> </w:t>
      </w:r>
      <w:r w:rsidR="000E37D4" w:rsidRPr="004C3F92">
        <w:t xml:space="preserve">Institute of </w:t>
      </w:r>
      <w:r w:rsidR="00FB0617" w:rsidRPr="004C3F92">
        <w:t>Applied Chemistry, University of Papaloapan</w:t>
      </w:r>
      <w:r w:rsidR="00247949" w:rsidRPr="004C3F92">
        <w:t>, Oaxaca</w:t>
      </w:r>
      <w:r w:rsidR="000E37D4" w:rsidRPr="004C3F92">
        <w:t>.</w:t>
      </w:r>
    </w:p>
    <w:p w:rsidR="00E13219" w:rsidRPr="004C3F92" w:rsidRDefault="00E13219" w:rsidP="004D5D68">
      <w:pPr>
        <w:spacing w:line="480" w:lineRule="auto"/>
        <w:jc w:val="both"/>
        <w:rPr>
          <w:b/>
        </w:rPr>
      </w:pPr>
    </w:p>
    <w:p w:rsidR="000E37D4" w:rsidRPr="004C3F92" w:rsidRDefault="000E37D4" w:rsidP="004D5D68">
      <w:pPr>
        <w:spacing w:line="480" w:lineRule="auto"/>
        <w:jc w:val="both"/>
        <w:rPr>
          <w:b/>
        </w:rPr>
      </w:pPr>
      <w:r w:rsidRPr="004C3F92">
        <w:rPr>
          <w:b/>
        </w:rPr>
        <w:t>*</w:t>
      </w:r>
      <w:r w:rsidR="004D5D68" w:rsidRPr="004C3F92">
        <w:rPr>
          <w:b/>
        </w:rPr>
        <w:t xml:space="preserve"> corresponding author</w:t>
      </w:r>
      <w:r w:rsidRPr="004C3F92">
        <w:rPr>
          <w:b/>
        </w:rPr>
        <w:t>:</w:t>
      </w:r>
    </w:p>
    <w:p w:rsidR="000E37D4" w:rsidRPr="004C3F92" w:rsidRDefault="000E37D4" w:rsidP="007C5205">
      <w:pPr>
        <w:spacing w:line="480" w:lineRule="auto"/>
        <w:jc w:val="both"/>
      </w:pPr>
      <w:r w:rsidRPr="004C3F92">
        <w:t>Dr.</w:t>
      </w:r>
      <w:r w:rsidRPr="004C3F92">
        <w:rPr>
          <w:b/>
        </w:rPr>
        <w:t xml:space="preserve"> </w:t>
      </w:r>
      <w:r w:rsidRPr="004C3F92">
        <w:t xml:space="preserve">María Gabriela Vargas Martínez, </w:t>
      </w:r>
      <w:r w:rsidR="007C5205">
        <w:t>Department of Chemical Sciences</w:t>
      </w:r>
      <w:r w:rsidRPr="004C3F92">
        <w:t xml:space="preserve">, Faculty of Advanced Studies-Cuautitlan, National Autonomous University of Mexico, Av. </w:t>
      </w:r>
      <w:r w:rsidR="00D870C5" w:rsidRPr="004C3F92">
        <w:t>1 Mayo S/N, Cuautitlán Izcalli</w:t>
      </w:r>
      <w:r w:rsidRPr="004C3F92">
        <w:t xml:space="preserve">, </w:t>
      </w:r>
      <w:r w:rsidR="00D870C5" w:rsidRPr="004C3F92">
        <w:t>54740</w:t>
      </w:r>
      <w:r w:rsidRPr="004C3F92">
        <w:t>, Edo. de Mexico, México. Tel: +(5255) 5623 20 03, Fax: +(5255) 5868 24 91, E-mail: gvargasm@unam.mx</w:t>
      </w:r>
    </w:p>
    <w:p w:rsidR="00247949" w:rsidRPr="004C3F92" w:rsidRDefault="00247949">
      <w:pPr>
        <w:spacing w:line="480" w:lineRule="auto"/>
        <w:jc w:val="both"/>
        <w:rPr>
          <w:b/>
          <w:i/>
        </w:rPr>
      </w:pPr>
    </w:p>
    <w:p w:rsidR="000E37D4" w:rsidRPr="004C3F92" w:rsidRDefault="000E37D4">
      <w:pPr>
        <w:spacing w:line="480" w:lineRule="auto"/>
        <w:jc w:val="both"/>
        <w:rPr>
          <w:b/>
          <w:i/>
        </w:rPr>
      </w:pPr>
      <w:r w:rsidRPr="004C3F92">
        <w:rPr>
          <w:b/>
          <w:i/>
        </w:rPr>
        <w:t>Abstract</w:t>
      </w:r>
    </w:p>
    <w:p w:rsidR="000E37D4" w:rsidRPr="004C3F92" w:rsidRDefault="000E37D4" w:rsidP="002A23A0">
      <w:pPr>
        <w:spacing w:line="480" w:lineRule="auto"/>
        <w:jc w:val="both"/>
      </w:pPr>
      <w:r w:rsidRPr="004C3F92">
        <w:t>A capillary electrophoretic method for the chiral separation of the 3-chiral-1,4-benzodiazepines was developed. Enantiomeric resolution of oxazepam, lorazepam, temazepam, and lormetazepam was achieved using sulfated cyclodextrins (CD's) as chiral selectors. A 3-levels, 4-factors fractional factorial (3</w:t>
      </w:r>
      <w:r w:rsidRPr="004C3F92">
        <w:rPr>
          <w:position w:val="6"/>
          <w:sz w:val="20"/>
        </w:rPr>
        <w:t>4-2</w:t>
      </w:r>
      <w:r w:rsidRPr="004C3F92">
        <w:t>) design was applied to test 3 different CD's: heptakis-6-sulfato-</w:t>
      </w:r>
      <w:fldSimple w:instr="SYMBOL 98 \f &quot;Symbol&quot;"/>
      <w:r w:rsidRPr="004C3F92">
        <w:t>-cyclodextrin (HS</w:t>
      </w:r>
      <w:fldSimple w:instr="SYMBOL 98 \f &quot;Symbol&quot;"/>
      <w:r w:rsidRPr="004C3F92">
        <w:t>CD), heptakis-(2,3-diacetyl-6-sulfato)-</w:t>
      </w:r>
      <w:fldSimple w:instr="SYMBOL 98 \f &quot;Symbol&quot;"/>
      <w:r w:rsidRPr="004C3F92">
        <w:t>-cyclodextrin (HDAS</w:t>
      </w:r>
      <w:fldSimple w:instr="SYMBOL 98 \f &quot;Symbol&quot;"/>
      <w:r w:rsidRPr="004C3F92">
        <w:t>CD), and heptakis-(2,3-dimethyl-6-sulfato)-</w:t>
      </w:r>
      <w:fldSimple w:instr="SYMBOL 98 \f &quot;Symbol&quot;"/>
      <w:r w:rsidRPr="004C3F92">
        <w:t>-cyclodextrin (HDMS</w:t>
      </w:r>
      <w:fldSimple w:instr="SYMBOL 98 \f &quot;Symbol&quot;"/>
      <w:r w:rsidRPr="004C3F92">
        <w:t>CD). The CD type, its concentration, the</w:t>
      </w:r>
      <w:r w:rsidRPr="004C3F92">
        <w:rPr>
          <w:color w:val="FF0000"/>
        </w:rPr>
        <w:t xml:space="preserve"> </w:t>
      </w:r>
      <w:r w:rsidRPr="004C3F92">
        <w:t>pH of the electrolyte, and % organic modifier were tested as the factors in the experimental design. The highest resolution values were obtained using a 20 mM borate buffer, pH 9.0 with the addition of 5 % HS</w:t>
      </w:r>
      <w:fldSimple w:instr="SYMBOL 98 \f &quot;Symbol&quot;"/>
      <w:r w:rsidRPr="004C3F92">
        <w:t xml:space="preserve">CD and 15 % methanol as an organic modifier. At these separation </w:t>
      </w:r>
      <w:r w:rsidRPr="004C3F92">
        <w:lastRenderedPageBreak/>
        <w:t>conditions, the equilibrium constants of the benzodiazepine-HS</w:t>
      </w:r>
      <w:fldSimple w:instr="SYMBOL 98 \f &quot;Symbol&quot;"/>
      <w:r w:rsidRPr="004C3F92">
        <w:t>CD complex formation were calculated. A theoretical study of the interaction benzodiazepine-HS</w:t>
      </w:r>
      <w:fldSimple w:instr="SYMBOL 98 \f &quot;Symbol&quot;"/>
      <w:r w:rsidRPr="004C3F92">
        <w:t xml:space="preserve">CD complex using semiempirical calculations is postulated. </w:t>
      </w:r>
    </w:p>
    <w:p w:rsidR="000E37D4" w:rsidRPr="004C3F92" w:rsidRDefault="000E37D4">
      <w:pPr>
        <w:spacing w:line="480" w:lineRule="auto"/>
        <w:jc w:val="both"/>
      </w:pPr>
    </w:p>
    <w:p w:rsidR="006625C6" w:rsidRPr="004C3F92" w:rsidRDefault="00456BBB" w:rsidP="006625C6">
      <w:pPr>
        <w:pStyle w:val="Sangradetextonormal"/>
        <w:spacing w:line="480" w:lineRule="auto"/>
        <w:rPr>
          <w:b/>
        </w:rPr>
      </w:pPr>
      <w:r w:rsidRPr="004C3F92">
        <w:rPr>
          <w:b/>
        </w:rPr>
        <w:t>Keywords</w:t>
      </w:r>
      <w:r w:rsidR="006625C6" w:rsidRPr="004C3F92">
        <w:rPr>
          <w:b/>
        </w:rPr>
        <w:t>:</w:t>
      </w:r>
    </w:p>
    <w:p w:rsidR="006625C6" w:rsidRPr="004C3F92" w:rsidRDefault="006625C6" w:rsidP="00456BBB">
      <w:pPr>
        <w:pStyle w:val="Sangradetextonormal"/>
        <w:spacing w:line="480" w:lineRule="auto"/>
      </w:pPr>
      <w:r w:rsidRPr="004C3F92">
        <w:t>Chiral Separation</w:t>
      </w:r>
      <w:r w:rsidR="00456BBB" w:rsidRPr="004C3F92">
        <w:t>;</w:t>
      </w:r>
      <w:r w:rsidRPr="004C3F92">
        <w:t xml:space="preserve"> Benzodiazepines</w:t>
      </w:r>
      <w:r w:rsidR="00456BBB" w:rsidRPr="004C3F92">
        <w:t>;</w:t>
      </w:r>
      <w:r w:rsidRPr="004C3F92">
        <w:t xml:space="preserve"> Sulfated Cyclodextrins</w:t>
      </w:r>
      <w:r w:rsidR="00456BBB" w:rsidRPr="004C3F92">
        <w:t>;</w:t>
      </w:r>
      <w:r w:rsidRPr="004C3F92">
        <w:t xml:space="preserve"> Molecular Modeling </w:t>
      </w:r>
    </w:p>
    <w:p w:rsidR="000E37D4" w:rsidRPr="004C3F92" w:rsidRDefault="000E37D4">
      <w:pPr>
        <w:spacing w:line="480" w:lineRule="auto"/>
        <w:jc w:val="both"/>
      </w:pPr>
    </w:p>
    <w:p w:rsidR="002A23A0" w:rsidRPr="004C3F92" w:rsidRDefault="00E13219">
      <w:pPr>
        <w:spacing w:line="480" w:lineRule="auto"/>
        <w:jc w:val="both"/>
        <w:rPr>
          <w:b/>
          <w:bCs/>
          <w:i/>
          <w:iCs/>
        </w:rPr>
      </w:pPr>
      <w:r w:rsidRPr="004C3F92">
        <w:rPr>
          <w:b/>
          <w:bCs/>
          <w:i/>
          <w:iCs/>
        </w:rPr>
        <w:t>Resumen</w:t>
      </w:r>
    </w:p>
    <w:p w:rsidR="00E13219" w:rsidRPr="004C3F92" w:rsidRDefault="00E13219" w:rsidP="00AE217F">
      <w:pPr>
        <w:spacing w:line="480" w:lineRule="auto"/>
        <w:jc w:val="both"/>
      </w:pPr>
      <w:r w:rsidRPr="004C3F92">
        <w:t xml:space="preserve">Se desarrolló un método para la separación quiral de </w:t>
      </w:r>
      <w:r w:rsidR="00AA02A9" w:rsidRPr="004C3F92">
        <w:t xml:space="preserve">las </w:t>
      </w:r>
      <w:r w:rsidRPr="004C3F92">
        <w:t>3-quiral-1,4-benzodiazepinas</w:t>
      </w:r>
      <w:r w:rsidR="00AA02A9" w:rsidRPr="004C3F92">
        <w:t xml:space="preserve"> por electroforesis capilar</w:t>
      </w:r>
      <w:r w:rsidRPr="004C3F92">
        <w:t>. La resolución enantiomérica de oxazepam, lorazepam, temazepam y lormetazepam se logró utilizando ciclodextrinas sulfatadas (CD's) como selectores quirales. Se aplicó un diseño factorial fracciona</w:t>
      </w:r>
      <w:r w:rsidR="00AA02A9" w:rsidRPr="004C3F92">
        <w:t>do</w:t>
      </w:r>
      <w:r w:rsidRPr="004C3F92">
        <w:t xml:space="preserve"> de 3 niveles y 4 factores (3</w:t>
      </w:r>
      <w:r w:rsidRPr="004C3F92">
        <w:rPr>
          <w:vertAlign w:val="superscript"/>
        </w:rPr>
        <w:t>4-2</w:t>
      </w:r>
      <w:r w:rsidRPr="004C3F92">
        <w:t>) para evaluar 3 CD diferentes: heptakis-6-sulfato</w:t>
      </w:r>
      <w:r w:rsidR="00AE217F" w:rsidRPr="004C3F92">
        <w:t>-</w:t>
      </w:r>
      <w:r w:rsidR="00AE217F" w:rsidRPr="004C3F92">
        <w:rPr>
          <w:rFonts w:ascii="Symbol" w:hAnsi="Symbol"/>
        </w:rPr>
        <w:t></w:t>
      </w:r>
      <w:r w:rsidR="00AE217F" w:rsidRPr="004C3F92">
        <w:rPr>
          <w:rFonts w:ascii="Symbol" w:hAnsi="Symbol"/>
        </w:rPr>
        <w:t></w:t>
      </w:r>
      <w:r w:rsidRPr="004C3F92">
        <w:t>ciclodextrina (HS</w:t>
      </w:r>
      <w:r w:rsidR="00AE217F" w:rsidRPr="004C3F92">
        <w:rPr>
          <w:rFonts w:ascii="Symbol" w:hAnsi="Symbol"/>
        </w:rPr>
        <w:t></w:t>
      </w:r>
      <w:r w:rsidRPr="004C3F92">
        <w:t>CD), heptakis-(2,3-diacetil-6-sulfato)</w:t>
      </w:r>
      <w:r w:rsidR="00AE217F" w:rsidRPr="004C3F92">
        <w:t>-</w:t>
      </w:r>
      <w:r w:rsidR="00AE217F" w:rsidRPr="004C3F92">
        <w:rPr>
          <w:rFonts w:ascii="Symbol" w:hAnsi="Symbol"/>
        </w:rPr>
        <w:t></w:t>
      </w:r>
      <w:r w:rsidR="00AE217F" w:rsidRPr="004C3F92">
        <w:rPr>
          <w:rFonts w:ascii="Symbol" w:hAnsi="Symbol"/>
        </w:rPr>
        <w:t></w:t>
      </w:r>
      <w:r w:rsidR="00AE217F" w:rsidRPr="004C3F92">
        <w:rPr>
          <w:rFonts w:ascii="Symbol" w:hAnsi="Symbol"/>
        </w:rPr>
        <w:t></w:t>
      </w:r>
      <w:r w:rsidRPr="004C3F92">
        <w:t>ciclodextrina (HDAS</w:t>
      </w:r>
      <w:r w:rsidR="00AE217F" w:rsidRPr="004C3F92">
        <w:rPr>
          <w:rFonts w:ascii="Symbol" w:hAnsi="Symbol"/>
        </w:rPr>
        <w:t></w:t>
      </w:r>
      <w:r w:rsidRPr="004C3F92">
        <w:t>CD), y heptakis- (2,3-dimetil-6-sulfato)</w:t>
      </w:r>
      <w:r w:rsidR="00AE217F" w:rsidRPr="004C3F92">
        <w:t>-</w:t>
      </w:r>
      <w:r w:rsidR="00AE217F" w:rsidRPr="004C3F92">
        <w:rPr>
          <w:rFonts w:ascii="Symbol" w:hAnsi="Symbol"/>
        </w:rPr>
        <w:t></w:t>
      </w:r>
      <w:r w:rsidR="00AE217F" w:rsidRPr="004C3F92">
        <w:rPr>
          <w:rFonts w:ascii="Symbol" w:hAnsi="Symbol"/>
        </w:rPr>
        <w:t></w:t>
      </w:r>
      <w:r w:rsidRPr="004C3F92">
        <w:t>ciclodextrina (HDMS</w:t>
      </w:r>
      <w:r w:rsidR="00AE217F" w:rsidRPr="004C3F92">
        <w:rPr>
          <w:rFonts w:ascii="Symbol" w:hAnsi="Symbol"/>
        </w:rPr>
        <w:t></w:t>
      </w:r>
      <w:r w:rsidRPr="004C3F92">
        <w:t xml:space="preserve">CD). El tipo de CD, su concentración, el pH del electrolito y el% de modificador orgánico se probaron como los factores en el diseño experimental. Los valores de resolución más altos se obtuvieron usando un </w:t>
      </w:r>
      <w:r w:rsidR="00AE217F" w:rsidRPr="004C3F92">
        <w:t>buffer</w:t>
      </w:r>
      <w:r w:rsidRPr="004C3F92">
        <w:t xml:space="preserve"> de borato</w:t>
      </w:r>
      <w:r w:rsidR="00AE217F" w:rsidRPr="004C3F92">
        <w:t>s</w:t>
      </w:r>
      <w:r w:rsidRPr="004C3F92">
        <w:t xml:space="preserve"> 20 mM, pH 9,0 con la adición de 5% de HS</w:t>
      </w:r>
      <w:r w:rsidR="00AE217F" w:rsidRPr="004C3F92">
        <w:rPr>
          <w:rFonts w:ascii="Symbol" w:hAnsi="Symbol"/>
        </w:rPr>
        <w:t></w:t>
      </w:r>
      <w:r w:rsidRPr="004C3F92">
        <w:t xml:space="preserve">CD y 15% de metanol como modificador orgánico. </w:t>
      </w:r>
      <w:r w:rsidR="00AE217F" w:rsidRPr="004C3F92">
        <w:t>A</w:t>
      </w:r>
      <w:r w:rsidRPr="004C3F92">
        <w:t xml:space="preserve"> estas condiciones de separación, se calcularon las constantes de equilibrio de la formación del complejo de benzodiazepina-HS</w:t>
      </w:r>
      <w:r w:rsidR="00AE217F" w:rsidRPr="004C3F92">
        <w:rPr>
          <w:rFonts w:ascii="Symbol" w:hAnsi="Symbol"/>
        </w:rPr>
        <w:t></w:t>
      </w:r>
      <w:r w:rsidRPr="004C3F92">
        <w:t>CD. Se postula un estudio teórico de la interacción del complejo benzodiazepina-HS</w:t>
      </w:r>
      <w:r w:rsidR="00AE217F" w:rsidRPr="004C3F92">
        <w:rPr>
          <w:rFonts w:ascii="Symbol" w:hAnsi="Symbol"/>
        </w:rPr>
        <w:t></w:t>
      </w:r>
      <w:r w:rsidR="00DF7135" w:rsidRPr="004C3F92">
        <w:t>CD mediante cálculos semiempí</w:t>
      </w:r>
      <w:r w:rsidRPr="004C3F92">
        <w:t>ricos.</w:t>
      </w:r>
    </w:p>
    <w:p w:rsidR="00E13219" w:rsidRPr="004C3F92" w:rsidRDefault="00E13219" w:rsidP="00E13219">
      <w:pPr>
        <w:spacing w:line="480" w:lineRule="auto"/>
        <w:jc w:val="both"/>
      </w:pPr>
    </w:p>
    <w:p w:rsidR="00E13219" w:rsidRPr="004C3F92" w:rsidRDefault="00E13219" w:rsidP="00E13219">
      <w:pPr>
        <w:spacing w:line="480" w:lineRule="auto"/>
        <w:jc w:val="both"/>
      </w:pPr>
      <w:r w:rsidRPr="004C3F92">
        <w:t>Palabras clave:</w:t>
      </w:r>
    </w:p>
    <w:p w:rsidR="00E13219" w:rsidRPr="004C3F92" w:rsidRDefault="00E13219" w:rsidP="00E13219">
      <w:pPr>
        <w:spacing w:line="480" w:lineRule="auto"/>
        <w:jc w:val="both"/>
      </w:pPr>
      <w:r w:rsidRPr="004C3F92">
        <w:t>Separación quiral; Benzodiazepinas; Ciclodextrinas sulfatadas; Modelado Molecular</w:t>
      </w:r>
    </w:p>
    <w:p w:rsidR="000E37D4" w:rsidRPr="004C3F92" w:rsidRDefault="004C3F92">
      <w:pPr>
        <w:pStyle w:val="Ttulo1"/>
        <w:spacing w:line="480" w:lineRule="auto"/>
        <w:rPr>
          <w:i w:val="0"/>
          <w:iCs w:val="0"/>
        </w:rPr>
      </w:pPr>
      <w:r w:rsidRPr="004C3F92">
        <w:rPr>
          <w:i w:val="0"/>
          <w:iCs w:val="0"/>
        </w:rPr>
        <w:lastRenderedPageBreak/>
        <w:t>INTRODUCTION</w:t>
      </w:r>
    </w:p>
    <w:p w:rsidR="000E37D4" w:rsidRPr="004C3F92" w:rsidRDefault="000E37D4">
      <w:pPr>
        <w:spacing w:line="480" w:lineRule="auto"/>
        <w:ind w:firstLine="720"/>
        <w:jc w:val="both"/>
      </w:pPr>
      <w:r w:rsidRPr="004C3F92">
        <w:t>Because the worldwide market for benzodiazepines is extremely large, they continue to be developed, evaluated and introduced for clinical use. The assay methods applied to determine their concentration are important in evaluating their pharmacokinetics, bioavailability and clinical pharmacology, and to detect and identify them in toxicological and forensic samples involving road traffic offences and/or drug overdoses.</w:t>
      </w:r>
    </w:p>
    <w:p w:rsidR="000E37D4" w:rsidRPr="004C3F92" w:rsidRDefault="000E37D4">
      <w:pPr>
        <w:pStyle w:val="Sangra2detindependiente"/>
        <w:spacing w:line="480" w:lineRule="auto"/>
      </w:pPr>
      <w:r w:rsidRPr="004C3F92">
        <w:t>It is well known that the enantiomers of the benzodiazepines possess different biological activity. For instance, the (+)-enantiomers of the 3-chiral benzodiazepines have been found to possess higher potency in displacing [H] diazepam binding [1] than the respective (-)-enantiomer in synaptosomal preparations from rat cerebral cortex [2]. It has been reported that esterases in liver and brain homogenates of mice have an opposite stereoselectivity; esterases in liver homogenate predominantly hydrolyse (-)-3R-oxazepam acetate, whereas esterases in brain homogenate predominantly hydrolyse (+)-3S-oxazepam acetate [3]. Nowadays, these differences in biological activity of the enantiomers have become evident for almost all compounds of pharmaceutical and biological interest. Therefore, analytical methods for chiral separations, preparative purposes, purity control of the enantiomers, and pharmacological studies are of great importance and in high demand.</w:t>
      </w:r>
    </w:p>
    <w:p w:rsidR="000E37D4" w:rsidRPr="004C3F92" w:rsidRDefault="000E37D4" w:rsidP="001F31A9">
      <w:pPr>
        <w:pStyle w:val="Textoindependiente2"/>
        <w:spacing w:line="480" w:lineRule="auto"/>
        <w:rPr>
          <w:b/>
        </w:rPr>
      </w:pPr>
      <w:r w:rsidRPr="004C3F92">
        <w:t>Chiral benzodiazepines are currently analyzed through the use of high performance liquid chromatography (HPLC) applying various types of synthetic chiral stationary phases [4-6] such as Chiralcel-OD-R</w:t>
      </w:r>
      <w:r w:rsidRPr="004C3F92">
        <w:rPr>
          <w:sz w:val="28"/>
          <w:vertAlign w:val="superscript"/>
        </w:rPr>
        <w:t>®</w:t>
      </w:r>
      <w:r w:rsidRPr="004C3F92">
        <w:t xml:space="preserve"> [7], </w:t>
      </w:r>
      <w:fldSimple w:instr="SYMBOL 98 \f &quot;Symbol&quot;"/>
      <w:r w:rsidRPr="004C3F92">
        <w:t>-cyclodextrin chemically bonded to silica [8] and Chiral-AGP</w:t>
      </w:r>
      <w:r w:rsidRPr="004C3F92">
        <w:rPr>
          <w:sz w:val="28"/>
          <w:vertAlign w:val="superscript"/>
        </w:rPr>
        <w:t>®</w:t>
      </w:r>
      <w:r w:rsidRPr="004C3F92">
        <w:t xml:space="preserve">  (protein based column)</w:t>
      </w:r>
      <w:r w:rsidRPr="004C3F92">
        <w:rPr>
          <w:color w:val="FF0000"/>
        </w:rPr>
        <w:t xml:space="preserve"> </w:t>
      </w:r>
      <w:r w:rsidRPr="004C3F92">
        <w:t>[9]. For the non-chiral separation of these compounds, capillary micellar</w:t>
      </w:r>
      <w:r w:rsidRPr="004C3F92">
        <w:rPr>
          <w:color w:val="FF0000"/>
        </w:rPr>
        <w:t xml:space="preserve"> </w:t>
      </w:r>
      <w:r w:rsidRPr="004C3F92">
        <w:t xml:space="preserve">electrokinetic chromatography (MEKC) using sodium dodecyl sulfate [10-13] and capillary electrochromatography (CEC) with cholesteryl-10-undecenoate as capillary modifier [14] have </w:t>
      </w:r>
      <w:r w:rsidRPr="004C3F92">
        <w:lastRenderedPageBreak/>
        <w:t xml:space="preserve">been used for their analysis in body fluids for toxicological and forensic purposes. A chiral separation of benzodiazepines by CEC was reported by Lloyd et.al. [15] using a capillary packed with human serum albumin. It is well known that capillary electrophoresis (CE) offers several advantages in the field of chiral separations compared to other techniques (i.e. low reagents consumption, high efficiency, rapid development). </w:t>
      </w:r>
      <w:r w:rsidR="00001A85" w:rsidRPr="00001A85">
        <w:t xml:space="preserve">There are two reports of the chiral separation of benzodiazepines using MEKC, one using sodium cholate as a chiral selector </w:t>
      </w:r>
      <w:r w:rsidR="00001A85">
        <w:t xml:space="preserve">[16] </w:t>
      </w:r>
      <w:r w:rsidR="00001A85" w:rsidRPr="00001A85">
        <w:t>and another using polymeric surfactants and mass spectrometry</w:t>
      </w:r>
      <w:r w:rsidR="00001A85">
        <w:t xml:space="preserve"> [17]</w:t>
      </w:r>
      <w:r w:rsidR="00001A85" w:rsidRPr="00001A85">
        <w:t>, with poor resolutions no greater than 1.6.</w:t>
      </w:r>
      <w:r w:rsidR="00001A85">
        <w:t xml:space="preserve"> </w:t>
      </w:r>
      <w:r w:rsidRPr="004C3F92">
        <w:t>However, until now, there are no reports about the chiral separation of the benzodiazepines by this technique</w:t>
      </w:r>
      <w:r w:rsidR="001F31A9">
        <w:t xml:space="preserve"> using CD´s</w:t>
      </w:r>
      <w:r w:rsidR="00001A85">
        <w:t>.</w:t>
      </w:r>
    </w:p>
    <w:p w:rsidR="000E37D4" w:rsidRPr="004C3F92" w:rsidRDefault="000E37D4" w:rsidP="00FA05B8">
      <w:pPr>
        <w:spacing w:line="480" w:lineRule="auto"/>
        <w:jc w:val="both"/>
      </w:pPr>
      <w:r w:rsidRPr="004C3F92">
        <w:tab/>
        <w:t>In CE, chiral separation can be achieved using various chiral selectors. However, among a long list, cyclodextrins (CD) have become the most popular, because they are inexpensive, provide a fast equilibration of the CD-solute complex, they possess a high efficiency and a good peak symmetry. CD’s have been widely used as chiral selectors in many HPLC and CE applications [1</w:t>
      </w:r>
      <w:r w:rsidR="00FA05B8">
        <w:t>8</w:t>
      </w:r>
      <w:r w:rsidRPr="004C3F92">
        <w:t>-</w:t>
      </w:r>
      <w:r w:rsidR="00FA05B8">
        <w:t>20</w:t>
      </w:r>
      <w:r w:rsidRPr="004C3F92">
        <w:t>]. A very important requirement for the separation of enantiomers by CE is that either the analyte, the CD or both must be charged and, as a consequence, possess different mobilities toward the bulk solution. In the benzodiazepines case, the compounds are neutral in a very wide pH range (pH 2.9 to 11.6). Then, neutral CD can not be used for the analysis of these uncharged enantiomers because separation is not possible without the addition of charged additives such as ionic CD’s [</w:t>
      </w:r>
      <w:r w:rsidR="00FA05B8">
        <w:t>21</w:t>
      </w:r>
      <w:r w:rsidRPr="004C3F92">
        <w:t>] or surfactants [2</w:t>
      </w:r>
      <w:r w:rsidR="00FA05B8">
        <w:t>2</w:t>
      </w:r>
      <w:r w:rsidRPr="004C3F92">
        <w:t>]. Therefore, charged CD’s are very advantageous chiral agents for neutral compounds. Sulfated cyclodextins have become increasingly important chiral selectors within last few years. They have been successfully used in the separation of enantiomers in a wide variety of compounds [2</w:t>
      </w:r>
      <w:r w:rsidR="00FA05B8">
        <w:t>3</w:t>
      </w:r>
      <w:r w:rsidRPr="004C3F92">
        <w:t>-2</w:t>
      </w:r>
      <w:r w:rsidR="00FA05B8">
        <w:t>7</w:t>
      </w:r>
      <w:r w:rsidRPr="004C3F92">
        <w:t xml:space="preserve">]. They are strong electrolytes that can be used at any pH required, possess the maximum number of charged functional groups on the 6-position of the glucose moieties, and are not mixtures of different </w:t>
      </w:r>
      <w:r w:rsidRPr="004C3F92">
        <w:lastRenderedPageBreak/>
        <w:t>isomers. As described in Wren and Rowe's model [2</w:t>
      </w:r>
      <w:r w:rsidR="00FA05B8">
        <w:t>8</w:t>
      </w:r>
      <w:r w:rsidRPr="004C3F92">
        <w:t>], the greater the mobility difference between the free and complexed analyte, the better the resolution. Uncharged compounds, because they co-migrate with the electroosmotic flow, are moving in opposite direction than the negatively charged selectors.</w:t>
      </w:r>
    </w:p>
    <w:p w:rsidR="000E37D4" w:rsidRPr="004C3F92" w:rsidRDefault="000E37D4">
      <w:pPr>
        <w:spacing w:line="480" w:lineRule="auto"/>
        <w:jc w:val="both"/>
      </w:pPr>
      <w:r w:rsidRPr="004C3F92">
        <w:t>In this work, a rapid method in determining the separation conditions for chiral resolution of the 3-chiral-1,4-benzodiazepines by capillary electrophoresis using sulfated cyclodextrins is described. Additionally, in order to better</w:t>
      </w:r>
      <w:r w:rsidRPr="004C3F92">
        <w:rPr>
          <w:color w:val="FF0000"/>
        </w:rPr>
        <w:t xml:space="preserve"> </w:t>
      </w:r>
      <w:r w:rsidRPr="004C3F92">
        <w:t>understand the mechanism that takes place in the separations, the evaluation of the drug-CD equilibrium constant formation and a molecular modeling study was carried out for each compound. A final comparison of the experimental and the theoretical studies was carried out in order to make more accurate conclusions about how a specific chiral selector discriminates between enantiomers.</w:t>
      </w:r>
    </w:p>
    <w:p w:rsidR="000E37D4" w:rsidRPr="004C3F92" w:rsidRDefault="000E37D4">
      <w:pPr>
        <w:spacing w:line="480" w:lineRule="auto"/>
        <w:jc w:val="both"/>
      </w:pPr>
    </w:p>
    <w:p w:rsidR="004C3F92" w:rsidRPr="004C3F92" w:rsidRDefault="004C3F92">
      <w:pPr>
        <w:spacing w:line="480" w:lineRule="auto"/>
        <w:jc w:val="both"/>
        <w:rPr>
          <w:b/>
          <w:bCs/>
        </w:rPr>
      </w:pPr>
      <w:r w:rsidRPr="004C3F92">
        <w:rPr>
          <w:b/>
          <w:bCs/>
        </w:rPr>
        <w:t>EXPERIMENTAL</w:t>
      </w:r>
    </w:p>
    <w:p w:rsidR="000E37D4" w:rsidRPr="004C3F92" w:rsidRDefault="000E37D4">
      <w:pPr>
        <w:spacing w:line="480" w:lineRule="auto"/>
        <w:jc w:val="both"/>
        <w:rPr>
          <w:b/>
          <w:i/>
        </w:rPr>
      </w:pPr>
      <w:r w:rsidRPr="004C3F92">
        <w:rPr>
          <w:b/>
          <w:i/>
        </w:rPr>
        <w:t xml:space="preserve">Apparatus and Reagents </w:t>
      </w:r>
    </w:p>
    <w:p w:rsidR="000E37D4" w:rsidRPr="004C3F92" w:rsidRDefault="000E37D4">
      <w:pPr>
        <w:spacing w:line="480" w:lineRule="auto"/>
        <w:ind w:firstLine="720"/>
        <w:jc w:val="both"/>
      </w:pPr>
      <w:r w:rsidRPr="004C3F92">
        <w:t xml:space="preserve">A fully automated capillary electrophoresis instrument CE ultra, (TermoQuest Co., San Jose, CA, USA) equipped with a fast scanning UV-VIS detector, was used for all measurements. An uncoated fused silica capillary 50 </w:t>
      </w:r>
      <w:fldSimple w:instr="SYMBOL 109 \f &quot;Symbol&quot;"/>
      <w:r w:rsidRPr="004C3F92">
        <w:t>m I.D., 43.3 cm total length (37.1 cm length to the detector cell) was utilized. Sodium tetraborate (Na</w:t>
      </w:r>
      <w:r w:rsidRPr="004C3F92">
        <w:rPr>
          <w:position w:val="-6"/>
          <w:sz w:val="20"/>
        </w:rPr>
        <w:t>2</w:t>
      </w:r>
      <w:r w:rsidRPr="004C3F92">
        <w:t>B</w:t>
      </w:r>
      <w:r w:rsidRPr="004C3F92">
        <w:rPr>
          <w:position w:val="-6"/>
          <w:sz w:val="20"/>
        </w:rPr>
        <w:t>4</w:t>
      </w:r>
      <w:r w:rsidRPr="004C3F92">
        <w:t>O</w:t>
      </w:r>
      <w:r w:rsidRPr="004C3F92">
        <w:rPr>
          <w:position w:val="-6"/>
          <w:sz w:val="20"/>
        </w:rPr>
        <w:t>7</w:t>
      </w:r>
      <w:r w:rsidRPr="004C3F92">
        <w:t>), phosphoric acid, and triethanolamine were provided by MERCK (Darmstadt, Germany). Heptakis-6-sulfato-</w:t>
      </w:r>
      <w:fldSimple w:instr="SYMBOL 98 \f &quot;Symbol&quot;"/>
      <w:r w:rsidRPr="004C3F92">
        <w:t>-cyclodextrin (HS</w:t>
      </w:r>
      <w:fldSimple w:instr="SYMBOL 98 \f &quot;Symbol&quot;"/>
      <w:r w:rsidRPr="004C3F92">
        <w:t>CD), heptakis-(2,3-diacetyl-6-sulfato)-</w:t>
      </w:r>
      <w:fldSimple w:instr="SYMBOL 98 \f &quot;Symbol&quot;"/>
      <w:r w:rsidRPr="004C3F92">
        <w:t>-cyclodextrin (HDAS</w:t>
      </w:r>
      <w:fldSimple w:instr="SYMBOL 98 \f &quot;Symbol&quot;"/>
      <w:r w:rsidRPr="004C3F92">
        <w:t>CD), and heptakis-(2,3-dimethyl-6-sulfato)-</w:t>
      </w:r>
      <w:fldSimple w:instr="SYMBOL 98 \f &quot;Symbol&quot;"/>
      <w:r w:rsidRPr="004C3F92">
        <w:t>-cyclodextrin (HDAS</w:t>
      </w:r>
      <w:fldSimple w:instr="SYMBOL 98 \f &quot;Symbol&quot;"/>
      <w:r w:rsidRPr="004C3F92">
        <w:t xml:space="preserve">CD) by Regis Technologies (Illinois, USA). The racemic 3-chiral 1,4-benzodiazepines drug substances: temazepam, lorazepam, oxazepam, and lormetazepam were gifts from diverse sources. A viscometer Ubbelohde from Analis (Gent, </w:t>
      </w:r>
      <w:r w:rsidRPr="004C3F92">
        <w:lastRenderedPageBreak/>
        <w:t xml:space="preserve">Belgium) No. 7728, thermostated at 15 </w:t>
      </w:r>
      <w:r w:rsidRPr="004C3F92">
        <w:rPr>
          <w:vertAlign w:val="superscript"/>
        </w:rPr>
        <w:t>o</w:t>
      </w:r>
      <w:r w:rsidRPr="004C3F92">
        <w:t>C was used for the viscosity determinations. Calculations of the pK</w:t>
      </w:r>
      <w:r w:rsidRPr="004C3F92">
        <w:rPr>
          <w:position w:val="-5"/>
          <w:sz w:val="18"/>
        </w:rPr>
        <w:t>a</w:t>
      </w:r>
      <w:r w:rsidRPr="004C3F92">
        <w:t xml:space="preserve"> values of the benzodiazepines were done using ACD/Labs Software (ARC Laboratories, Amsterdam, The Netherlands). Structure optimization determination</w:t>
      </w:r>
      <w:r w:rsidRPr="004C3F92">
        <w:rPr>
          <w:b/>
        </w:rPr>
        <w:t xml:space="preserve"> </w:t>
      </w:r>
      <w:r w:rsidRPr="004C3F92">
        <w:t>and molecular modeling were performed in a supercomputer CRAY YMP/464.</w:t>
      </w:r>
    </w:p>
    <w:p w:rsidR="000E37D4" w:rsidRPr="004C3F92" w:rsidRDefault="000E37D4">
      <w:pPr>
        <w:spacing w:line="480" w:lineRule="auto"/>
        <w:jc w:val="both"/>
      </w:pPr>
    </w:p>
    <w:p w:rsidR="000E37D4" w:rsidRPr="004C3F92" w:rsidRDefault="000E37D4">
      <w:pPr>
        <w:spacing w:line="480" w:lineRule="auto"/>
        <w:jc w:val="both"/>
        <w:rPr>
          <w:b/>
          <w:i/>
        </w:rPr>
      </w:pPr>
      <w:r w:rsidRPr="004C3F92">
        <w:rPr>
          <w:b/>
          <w:i/>
        </w:rPr>
        <w:t>Methodology</w:t>
      </w:r>
    </w:p>
    <w:p w:rsidR="000E37D4" w:rsidRPr="004C3F92" w:rsidRDefault="000E37D4">
      <w:pPr>
        <w:spacing w:line="480" w:lineRule="auto"/>
        <w:jc w:val="both"/>
      </w:pPr>
      <w:r w:rsidRPr="004C3F92">
        <w:tab/>
        <w:t xml:space="preserve">The acidic phosphate/triethanolamine buffer was prepared by titration of a 25 mM phosphoric acid solution with triethanolamine, until reaching the required pH. The background electrolyte (BGE) borate buffer was prepared by titration of a 20 mM sodium tetraborate solution with either 0.1M NaOH or 0.1 M HCl, until the required pH. Preconditioning of the capillary was done daily with 0.1 M NaOH, water, and buffer, respectively, for 5 min each at 100 psi. The temperature was set at 15 </w:t>
      </w:r>
      <w:r w:rsidRPr="004C3F92">
        <w:rPr>
          <w:position w:val="6"/>
          <w:sz w:val="20"/>
        </w:rPr>
        <w:t>o</w:t>
      </w:r>
      <w:r w:rsidRPr="004C3F92">
        <w:t>C. Between runs, a pre-wash of 3 min at 100 psi with BGE followed by a 0.6 min capillary filling with the selected cyclodextrin in the run buffer, was always done. Hydrodynamic injection of the sample for 5 s at 0.8 psi was performed. An electric field of 20 kV was applied for the separation. The UV detection was performed at 230 nm. Due to the limited water solubility of the benzodiazepines, methanol (10 %) was used as a cosolvent to prepare the standard solutions.</w:t>
      </w:r>
    </w:p>
    <w:p w:rsidR="000E37D4" w:rsidRPr="004C3F92" w:rsidRDefault="000E37D4" w:rsidP="00664842">
      <w:pPr>
        <w:spacing w:line="480" w:lineRule="auto"/>
        <w:jc w:val="both"/>
      </w:pPr>
      <w:r w:rsidRPr="004C3F92">
        <w:tab/>
        <w:t>The benzodiazepines were screened using a 3 levels, 4 factors fractional factorial design (3</w:t>
      </w:r>
      <w:r w:rsidRPr="004C3F92">
        <w:rPr>
          <w:position w:val="6"/>
          <w:sz w:val="20"/>
        </w:rPr>
        <w:t>4-2</w:t>
      </w:r>
      <w:r w:rsidRPr="004C3F92">
        <w:t>). It was proved in a previous paper that the 3-levels design was effective and cost saving scheme for the selection of the proper CD [2</w:t>
      </w:r>
      <w:r w:rsidR="00664842">
        <w:t>9</w:t>
      </w:r>
      <w:r w:rsidRPr="004C3F92">
        <w:t xml:space="preserve">]. The factors examined were (i) type of CD, (ii) CD concentration, (iii) pH of the background electrolyte (BGE), and (iv) % of organic modifier (methanol, MeOH). The resolution between the R- and S-enantiomers was taken as a response </w:t>
      </w:r>
      <w:r w:rsidRPr="004C3F92">
        <w:lastRenderedPageBreak/>
        <w:t>function, which describes the degree of separation in an optimal way. Additionally, the analysis time is considered as a second optimization criteria [</w:t>
      </w:r>
      <w:r w:rsidR="00664842">
        <w:t>30</w:t>
      </w:r>
      <w:r w:rsidRPr="004C3F92">
        <w:t xml:space="preserve">]. </w:t>
      </w:r>
    </w:p>
    <w:p w:rsidR="000E37D4" w:rsidRPr="004C3F92" w:rsidRDefault="000E37D4">
      <w:pPr>
        <w:spacing w:line="480" w:lineRule="auto"/>
        <w:ind w:right="270"/>
        <w:jc w:val="both"/>
        <w:rPr>
          <w:b/>
        </w:rPr>
      </w:pPr>
    </w:p>
    <w:p w:rsidR="000E37D4" w:rsidRPr="004C3F92" w:rsidRDefault="000E37D4">
      <w:pPr>
        <w:pStyle w:val="Ttulo5"/>
        <w:spacing w:line="480" w:lineRule="auto"/>
      </w:pPr>
      <w:r w:rsidRPr="004C3F92">
        <w:t>Calculations</w:t>
      </w:r>
    </w:p>
    <w:p w:rsidR="000E37D4" w:rsidRPr="004C3F92" w:rsidRDefault="000E37D4">
      <w:pPr>
        <w:spacing w:line="480" w:lineRule="auto"/>
        <w:ind w:firstLine="720"/>
        <w:jc w:val="both"/>
      </w:pPr>
      <w:r w:rsidRPr="004C3F92">
        <w:t>For each factor three effects were estimated, namely for the intervals between the levels [1, 0], [0, -1] and [1, -1]. Only two of those three effects are independent. Therefore, the following effects were calculated (equation 1 and 2).</w:t>
      </w:r>
    </w:p>
    <w:p w:rsidR="000E37D4" w:rsidRPr="004C3F92" w:rsidRDefault="000E37D4">
      <w:pPr>
        <w:spacing w:line="480" w:lineRule="auto"/>
        <w:ind w:firstLine="720"/>
        <w:jc w:val="both"/>
      </w:pPr>
    </w:p>
    <w:p w:rsidR="000E37D4" w:rsidRPr="004C3F92" w:rsidRDefault="00FA05B8">
      <w:pPr>
        <w:spacing w:line="480" w:lineRule="auto"/>
        <w:ind w:firstLine="720"/>
        <w:jc w:val="both"/>
      </w:pPr>
      <w:r w:rsidRPr="00FA05B8">
        <w:rPr>
          <w:position w:val="-38"/>
        </w:rPr>
        <w:object w:dxaOrig="2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3.8pt;height:40.9pt" o:ole="" fillcolor="window">
            <v:imagedata r:id="rId6" o:title=""/>
          </v:shape>
          <o:OLEObject Type="Embed" ProgID="Equation.3" ShapeID="_x0000_i1029" DrawAspect="Content" ObjectID="_1573625163" r:id="rId7"/>
        </w:object>
      </w:r>
      <w:r w:rsidR="000E37D4" w:rsidRPr="004C3F92">
        <w:tab/>
      </w:r>
      <w:r w:rsidR="000E37D4" w:rsidRPr="004C3F92">
        <w:tab/>
      </w:r>
      <w:r w:rsidR="000E37D4" w:rsidRPr="004C3F92">
        <w:tab/>
      </w:r>
      <w:r w:rsidR="000E37D4" w:rsidRPr="004C3F92">
        <w:tab/>
      </w:r>
      <w:r w:rsidR="000E37D4" w:rsidRPr="004C3F92">
        <w:tab/>
      </w:r>
      <w:r w:rsidR="000E37D4" w:rsidRPr="004C3F92">
        <w:tab/>
      </w:r>
      <w:r w:rsidR="000E37D4" w:rsidRPr="004C3F92">
        <w:tab/>
        <w:t>(1)</w:t>
      </w:r>
    </w:p>
    <w:p w:rsidR="000E37D4" w:rsidRPr="004C3F92" w:rsidRDefault="000E37D4">
      <w:pPr>
        <w:spacing w:line="480" w:lineRule="auto"/>
        <w:ind w:firstLine="720"/>
        <w:jc w:val="both"/>
      </w:pPr>
      <w:r w:rsidRPr="004C3F92">
        <w:rPr>
          <w:position w:val="-40"/>
        </w:rPr>
        <w:object w:dxaOrig="2880" w:dyaOrig="780">
          <v:shape id="_x0000_i1025" type="#_x0000_t75" style="width:2in;height:39.25pt" o:ole="" fillcolor="window">
            <v:imagedata r:id="rId8" o:title=""/>
          </v:shape>
          <o:OLEObject Type="Embed" ProgID="Equation.3" ShapeID="_x0000_i1025" DrawAspect="Content" ObjectID="_1573625164" r:id="rId9"/>
        </w:object>
      </w:r>
      <w:r w:rsidRPr="004C3F92">
        <w:tab/>
      </w:r>
      <w:r w:rsidRPr="004C3F92">
        <w:tab/>
      </w:r>
      <w:r w:rsidRPr="004C3F92">
        <w:tab/>
      </w:r>
      <w:r w:rsidRPr="004C3F92">
        <w:tab/>
      </w:r>
      <w:r w:rsidRPr="004C3F92">
        <w:tab/>
      </w:r>
      <w:r w:rsidRPr="004C3F92">
        <w:tab/>
        <w:t>(2)</w:t>
      </w:r>
    </w:p>
    <w:p w:rsidR="000E37D4" w:rsidRPr="004C3F92" w:rsidRDefault="000E37D4">
      <w:pPr>
        <w:spacing w:line="480" w:lineRule="auto"/>
        <w:jc w:val="both"/>
      </w:pPr>
    </w:p>
    <w:p w:rsidR="000E37D4" w:rsidRPr="004C3F92" w:rsidRDefault="000E37D4">
      <w:pPr>
        <w:pStyle w:val="Textoindependiente2"/>
        <w:spacing w:line="480" w:lineRule="auto"/>
      </w:pPr>
      <w:r w:rsidRPr="004C3F92">
        <w:t xml:space="preserve">in which </w:t>
      </w:r>
      <w:fldSimple w:instr="SYMBOL 83 \f &quot;Symbol&quot;"/>
      <w:r w:rsidRPr="004C3F92">
        <w:t xml:space="preserve">Y(1), </w:t>
      </w:r>
      <w:fldSimple w:instr="SYMBOL 83 \f &quot;Symbol&quot;"/>
      <w:r w:rsidRPr="004C3F92">
        <w:t xml:space="preserve">Y(0), and </w:t>
      </w:r>
      <w:fldSimple w:instr="SYMBOL 83 \f &quot;Symbol&quot;"/>
      <w:r w:rsidRPr="004C3F92">
        <w:t>Y(-1) represent the sum of the responses where the factor x is at level 1, 0 and –1, respectively, with “N” representing the number of design experiments. The aim of this evaluation is to select the experimental conditions that lead to the best separation (i.e. the highest resolution).</w:t>
      </w:r>
    </w:p>
    <w:p w:rsidR="000E37D4" w:rsidRPr="004C3F92" w:rsidRDefault="000E37D4">
      <w:pPr>
        <w:spacing w:line="480" w:lineRule="auto"/>
        <w:ind w:right="270"/>
        <w:jc w:val="both"/>
        <w:rPr>
          <w:b/>
        </w:rPr>
      </w:pPr>
    </w:p>
    <w:p w:rsidR="000E37D4" w:rsidRPr="004C3F92" w:rsidRDefault="00BE2BED">
      <w:pPr>
        <w:spacing w:line="480" w:lineRule="auto"/>
        <w:ind w:right="270"/>
        <w:jc w:val="both"/>
        <w:rPr>
          <w:b/>
        </w:rPr>
      </w:pPr>
      <w:r w:rsidRPr="004C3F92">
        <w:rPr>
          <w:b/>
        </w:rPr>
        <w:t>RESULTS AND DISCUSSION</w:t>
      </w:r>
    </w:p>
    <w:p w:rsidR="000E37D4" w:rsidRPr="004C3F92" w:rsidRDefault="000E37D4" w:rsidP="00664842">
      <w:pPr>
        <w:spacing w:line="480" w:lineRule="auto"/>
        <w:jc w:val="both"/>
      </w:pPr>
      <w:r w:rsidRPr="004C3F92">
        <w:tab/>
        <w:t xml:space="preserve">The general molecular structure of the 3-chiral-1,4-benzodiazepines and the absorption spectra are shown in Fig. 1 and </w:t>
      </w:r>
      <w:r w:rsidR="00664842">
        <w:t xml:space="preserve">Fig. </w:t>
      </w:r>
      <w:r w:rsidRPr="004C3F92">
        <w:t>2 respectively. They are neutral compounds in almost all of the pH range (i.e. between pH 3.0 to 11.6) with an absorption maximum around 230 nm. This observation can be explained by the fact that most benzodiazepines contain a considerably weak basic imine moiety and, hence, have pK</w:t>
      </w:r>
      <w:r w:rsidRPr="004C3F92">
        <w:rPr>
          <w:sz w:val="28"/>
          <w:vertAlign w:val="subscript"/>
        </w:rPr>
        <w:t>a</w:t>
      </w:r>
      <w:r w:rsidRPr="004C3F92">
        <w:t xml:space="preserve"> values ranging from 1.4 to 3.0. Then, in normal free </w:t>
      </w:r>
      <w:r w:rsidRPr="004C3F92">
        <w:lastRenderedPageBreak/>
        <w:t>solution capillary zone electrophoresis (CZE) they co-migrate with the electroosmotic flow (EOF). Charged CD’s, such as the sulfated ones, were tested as chiral selectors for benzodiazepines. These chiral selectors are negatively charged compounds and,</w:t>
      </w:r>
      <w:r w:rsidRPr="004C3F92">
        <w:rPr>
          <w:color w:val="FF0000"/>
        </w:rPr>
        <w:t xml:space="preserve"> </w:t>
      </w:r>
      <w:r w:rsidRPr="004C3F92">
        <w:t xml:space="preserve">therefore, the complexes formed migrated toward the anode in absence of EOF. </w:t>
      </w:r>
    </w:p>
    <w:p w:rsidR="000E37D4" w:rsidRPr="004C3F92" w:rsidRDefault="000E37D4" w:rsidP="00664842">
      <w:pPr>
        <w:spacing w:line="480" w:lineRule="auto"/>
        <w:jc w:val="both"/>
      </w:pPr>
      <w:r w:rsidRPr="004C3F92">
        <w:tab/>
        <w:t>Preliminary measurements were done at low pH (2.5) in order to know if better separation could be obtained having the analytes in the cationic form to promote their interaction with the</w:t>
      </w:r>
      <w:r w:rsidRPr="004C3F92">
        <w:rPr>
          <w:color w:val="FF0000"/>
          <w:u w:val="single"/>
        </w:rPr>
        <w:t xml:space="preserve"> </w:t>
      </w:r>
      <w:r w:rsidRPr="004C3F92">
        <w:t>HS</w:t>
      </w:r>
      <w:fldSimple w:instr="SYMBOL 98 \f &quot;Symbol&quot; \s 12"/>
      <w:r w:rsidRPr="004C3F92">
        <w:t>CD. In these conditions, the EOF is almost negligible. Therefore, when reverse polarity is applied, the unique mechanism that can take the benzodiazepines towards the detector is a complex formation with the anionic CD. A 25 mM phosphate/triet</w:t>
      </w:r>
      <w:r w:rsidR="00664842">
        <w:t xml:space="preserve">hanolamine buffer, pH 2.5 with </w:t>
      </w:r>
      <w:r w:rsidRPr="004C3F92">
        <w:t>the addition of 5% HS</w:t>
      </w:r>
      <w:fldSimple w:instr="SYMBOL 98 \f &quot;Symbol&quot; \s 12"/>
      <w:r w:rsidRPr="004C3F92">
        <w:t>CD was used as the run buffer for the separation. Electropherograms of the benzodiazepines measured at low pH are shown in Fig. 3. Separation can be observed in some cases but bad baseline and peak broadening was observed under these conditions. It should be mentioned that it is not evident to observe</w:t>
      </w:r>
      <w:r w:rsidRPr="004C3F92">
        <w:rPr>
          <w:color w:val="FF0000"/>
        </w:rPr>
        <w:t xml:space="preserve"> </w:t>
      </w:r>
      <w:r w:rsidRPr="004C3F92">
        <w:t>separations when the compounds are in the cationic form (pK</w:t>
      </w:r>
      <w:r w:rsidRPr="004C3F92">
        <w:rPr>
          <w:position w:val="-5"/>
          <w:sz w:val="18"/>
        </w:rPr>
        <w:t>a</w:t>
      </w:r>
      <w:r w:rsidRPr="004C3F92">
        <w:t xml:space="preserve"> 2.95, for both oxazepam and temazepam [</w:t>
      </w:r>
      <w:r w:rsidR="00664842">
        <w:t>31</w:t>
      </w:r>
      <w:r w:rsidRPr="004C3F92">
        <w:t>]). For the compounds that are still in the neutral</w:t>
      </w:r>
      <w:r w:rsidRPr="004C3F92">
        <w:rPr>
          <w:color w:val="00FF00"/>
        </w:rPr>
        <w:t xml:space="preserve"> </w:t>
      </w:r>
      <w:r w:rsidRPr="004C3F92">
        <w:t>form, (pK</w:t>
      </w:r>
      <w:r w:rsidRPr="004C3F92">
        <w:rPr>
          <w:position w:val="-5"/>
          <w:sz w:val="18"/>
        </w:rPr>
        <w:t>a</w:t>
      </w:r>
      <w:r w:rsidRPr="004C3F92">
        <w:t xml:space="preserve"> 1.3 for both lorazepam and lormetazepam) 2 peaks can be clearly distinguished. </w:t>
      </w:r>
    </w:p>
    <w:p w:rsidR="000E37D4" w:rsidRPr="004C3F92" w:rsidRDefault="000E37D4" w:rsidP="003A1510">
      <w:pPr>
        <w:spacing w:line="480" w:lineRule="auto"/>
        <w:ind w:firstLine="720"/>
        <w:jc w:val="both"/>
      </w:pPr>
      <w:r w:rsidRPr="004C3F92">
        <w:t>The second strategy to improve the separations was to have all the compounds in their neutral form. Then, a basic pH using 20 mM borate buffer was applied to measure the benzodiazepines. Experimental results show that when normal polarity is applied in an uncoated fused silica capillary, the strong EOF occurring at high pH (&gt;7) can take the negative complexes towards the cathode. Thus, separation and more prominent peak shapes were observed at basic pH range. At pH value below 7, co-migration of the analyte-CD complex with the EOF or even zero peaks were observed using normal polarity</w:t>
      </w:r>
      <w:r w:rsidRPr="004C3F92">
        <w:rPr>
          <w:u w:val="single"/>
        </w:rPr>
        <w:t>.</w:t>
      </w:r>
    </w:p>
    <w:p w:rsidR="000E37D4" w:rsidRPr="004C3F92" w:rsidRDefault="000E37D4">
      <w:pPr>
        <w:spacing w:line="480" w:lineRule="auto"/>
        <w:jc w:val="both"/>
      </w:pPr>
      <w:r w:rsidRPr="004C3F92">
        <w:lastRenderedPageBreak/>
        <w:tab/>
        <w:t>After these preliminary experiments, an experimental design was used to explore the experimental domain in order to find an acceptable resolution value utilizing the lowest number of experiments. The 3-levels, 4-factors fractional factorial design (3</w:t>
      </w:r>
      <w:r w:rsidRPr="004C3F92">
        <w:rPr>
          <w:position w:val="6"/>
          <w:sz w:val="20"/>
        </w:rPr>
        <w:t>4-2</w:t>
      </w:r>
      <w:r w:rsidRPr="004C3F92">
        <w:t>) mentioned in the methodology was applied</w:t>
      </w:r>
      <w:r w:rsidRPr="004C3F92">
        <w:rPr>
          <w:color w:val="FF0000"/>
        </w:rPr>
        <w:t xml:space="preserve">. </w:t>
      </w:r>
      <w:r w:rsidRPr="004C3F92">
        <w:t xml:space="preserve">The examined factors and levels are shown in Table 1. </w:t>
      </w:r>
    </w:p>
    <w:p w:rsidR="000E37D4" w:rsidRPr="004C3F92" w:rsidRDefault="000E37D4">
      <w:pPr>
        <w:pStyle w:val="Sangra2detindependiente"/>
        <w:spacing w:line="480" w:lineRule="auto"/>
      </w:pPr>
      <w:r w:rsidRPr="004C3F92">
        <w:t>The design and the resolution for the series of experiments can be seen in Table 2. The effect of the factors was calculated according to Eqs. 1 and 2 and is shown in Fig. 4. It should be stated that this experimental design is applied to map the experimental domain in as much detail as possible (in nine experiments) with less focus on the calculation of the effects. Given the fact that different CD types are examined in the design and they can have different optimal concentration for each analyte, the calculated effects can be without any practical meaning.</w:t>
      </w:r>
    </w:p>
    <w:p w:rsidR="000E37D4" w:rsidRPr="004C3F92" w:rsidRDefault="000E37D4">
      <w:pPr>
        <w:pStyle w:val="Textoindependiente2"/>
        <w:spacing w:line="480" w:lineRule="auto"/>
      </w:pPr>
      <w:r w:rsidRPr="004C3F92">
        <w:t>A clear tendency of HS</w:t>
      </w:r>
      <w:fldSimple w:instr="SYMBOL 98 \f &quot;Symbol&quot;"/>
      <w:r w:rsidRPr="004C3F92">
        <w:t>CD to improve the compound separation compared to HDM</w:t>
      </w:r>
      <w:fldSimple w:instr="SYMBOL 98 \f &quot;Symbol&quot;"/>
      <w:r w:rsidRPr="004C3F92">
        <w:t>CD and HDA</w:t>
      </w:r>
      <w:fldSimple w:instr="SYMBOL 98 \f &quot;Symbol&quot;"/>
      <w:r w:rsidRPr="004C3F92">
        <w:t>CD was observed (Table 2). Very high resolutions, ranging from 3.09 to 33.2 for the different substances, were obtained in experiment 8 when HS</w:t>
      </w:r>
      <w:fldSimple w:instr="SYMBOL 98 \f &quot;Symbol&quot;"/>
      <w:r w:rsidRPr="004C3F92">
        <w:t>CD was used as chiral selector. The highest CD concentration of 5%,</w:t>
      </w:r>
      <w:r w:rsidRPr="004C3F92">
        <w:rPr>
          <w:color w:val="00FF00"/>
        </w:rPr>
        <w:t xml:space="preserve"> </w:t>
      </w:r>
      <w:r w:rsidRPr="004C3F92">
        <w:t>leads to an increase in resolution for all substances. We cannot conclude, from the design, that the other factors pH and % methanol have a clear influence in the enantiomeric resolution of the benzodiazepines.</w:t>
      </w:r>
      <w:r w:rsidRPr="004C3F92">
        <w:rPr>
          <w:color w:val="00FF00"/>
        </w:rPr>
        <w:t xml:space="preserve"> </w:t>
      </w:r>
      <w:r w:rsidRPr="004C3F92">
        <w:t>From the design, we can conclude that experiment 8 gives the best resolutions for all compounds. This experiment is equivalent to the following conditions: 5.0 mM HS</w:t>
      </w:r>
      <w:fldSimple w:instr="SYMBOL 98 \f &quot;Symbol&quot;"/>
      <w:r w:rsidRPr="004C3F92">
        <w:t>CD, pH 9.0 with the addition of 15% MeOH. The electropherograms of the benzodiazepines separation, where they have shown the highest resolution values, can be observed in Fig. 5.</w:t>
      </w:r>
    </w:p>
    <w:p w:rsidR="000E37D4" w:rsidRPr="004C3F92" w:rsidRDefault="000E37D4" w:rsidP="003A1510">
      <w:pPr>
        <w:pStyle w:val="Textoindependiente2"/>
        <w:spacing w:line="480" w:lineRule="auto"/>
      </w:pPr>
      <w:r w:rsidRPr="004C3F92">
        <w:tab/>
        <w:t>The interaction between the highly sulfated cyclodextrins and neutral compounds, such as the benzodiazepines, is believed to be based on the hydrophobically driven inclusion complexation. Bergholdt and Lehmann [3</w:t>
      </w:r>
      <w:r w:rsidR="003A1510">
        <w:t>2</w:t>
      </w:r>
      <w:r w:rsidRPr="004C3F92">
        <w:t xml:space="preserve">] proposed that the extremely high efficiencies </w:t>
      </w:r>
      <w:r w:rsidRPr="004C3F92">
        <w:lastRenderedPageBreak/>
        <w:t>obtained using this type of anionic CD can be due to the phenomenon called "stacking" induced by the opposite direction of mobility of these negatively charged CD's to the EOF. Because neutral analytes migrate in the uncomplexed form with the EOF, this is also opposite to the electrophoretic mobility of the anionic chiral selector when fused silica capillary is used. Due to this stacking effect, narrower peaks are obtained and the mobility of the complexes is reduced allowing sufficient time for the zones to be separated.</w:t>
      </w:r>
    </w:p>
    <w:p w:rsidR="000E37D4" w:rsidRPr="004C3F92" w:rsidRDefault="000E37D4">
      <w:pPr>
        <w:pStyle w:val="Textoindependiente2"/>
        <w:spacing w:line="480" w:lineRule="auto"/>
      </w:pPr>
      <w:r w:rsidRPr="004C3F92">
        <w:t>It was observed that the addition of methanol until 15 % increases the resolution, the peak height, and also the migration time of the Oxazepam (Table 3). This behavior could be due to the improvement in Oxazepam solubility and the increase in viscosity, with the addition of methanol. This allows the complexes to reduce their mobility, spending enough time in the capillary column to be better separated. The addition of higher than 15% of methanol does not improve the resolution nor the peak height. This is probably due to the analytes peak broadening, due to the excessive increase in migration times until unacceptable values were achieved (Table 3).</w:t>
      </w:r>
    </w:p>
    <w:p w:rsidR="000E37D4" w:rsidRPr="004C3F92" w:rsidRDefault="000E37D4">
      <w:pPr>
        <w:pStyle w:val="Textoindependiente2"/>
        <w:spacing w:line="480" w:lineRule="auto"/>
      </w:pPr>
      <w:r w:rsidRPr="004C3F92">
        <w:t>It should be understood that the objective of the 3-levels, 4-factors fractional factorial design (3</w:t>
      </w:r>
      <w:r w:rsidRPr="004C3F92">
        <w:rPr>
          <w:position w:val="6"/>
          <w:sz w:val="20"/>
        </w:rPr>
        <w:t>4-2</w:t>
      </w:r>
      <w:r w:rsidRPr="004C3F92">
        <w:t>), applied here, was not to find an optimal separation but to explore the experimental domain in such a way that one has a good chance of finding acceptable separation conditions only by executing a limited number of experiments (only 9).</w:t>
      </w:r>
    </w:p>
    <w:p w:rsidR="000E37D4" w:rsidRPr="004C3F92" w:rsidRDefault="000E37D4">
      <w:pPr>
        <w:pStyle w:val="Textoindependiente2"/>
        <w:spacing w:line="480" w:lineRule="auto"/>
        <w:jc w:val="left"/>
        <w:rPr>
          <w:b/>
        </w:rPr>
      </w:pPr>
    </w:p>
    <w:p w:rsidR="000E37D4" w:rsidRPr="00BE2BED" w:rsidRDefault="000E37D4">
      <w:pPr>
        <w:pStyle w:val="Textoindependiente2"/>
        <w:spacing w:line="480" w:lineRule="auto"/>
        <w:jc w:val="left"/>
        <w:rPr>
          <w:b/>
          <w:i/>
          <w:iCs/>
        </w:rPr>
      </w:pPr>
      <w:r w:rsidRPr="00BE2BED">
        <w:rPr>
          <w:b/>
          <w:i/>
          <w:iCs/>
        </w:rPr>
        <w:t>Binding constants determination</w:t>
      </w:r>
    </w:p>
    <w:p w:rsidR="000E37D4" w:rsidRPr="004C3F92" w:rsidRDefault="000E37D4" w:rsidP="00DE0E15">
      <w:pPr>
        <w:pStyle w:val="Textoindependiente2"/>
        <w:spacing w:line="480" w:lineRule="auto"/>
      </w:pPr>
      <w:r w:rsidRPr="004C3F92">
        <w:t>In order to better understand the mechanism involved in the host-guest complex formation of HS</w:t>
      </w:r>
      <w:fldSimple w:instr="SYMBOL 98 \f &quot;Symbol&quot;"/>
      <w:r w:rsidRPr="004C3F92">
        <w:t>CD with the benzodiazepines, the binding constant determinations of all enantiomer- HS</w:t>
      </w:r>
      <w:fldSimple w:instr="SYMBOL 98 \f &quot;Symbol&quot;"/>
      <w:r w:rsidRPr="004C3F92">
        <w:t xml:space="preserve">CD were carried out experimentally. In addition, the knowledge of the binding constants values is very useful to calculate one of the most important parameters for separation: the optimal CD </w:t>
      </w:r>
      <w:r w:rsidRPr="004C3F92">
        <w:lastRenderedPageBreak/>
        <w:t>concentration [3</w:t>
      </w:r>
      <w:r w:rsidR="00DE0E15">
        <w:t>3</w:t>
      </w:r>
      <w:r w:rsidRPr="004C3F92">
        <w:t>-3</w:t>
      </w:r>
      <w:r w:rsidR="00DE0E15">
        <w:t>4</w:t>
      </w:r>
      <w:r w:rsidRPr="004C3F92">
        <w:t>]. In this way, it will be possible to evaluate the performance of our experimental design to predict the best condition for the separation of the benzodiazepine enantiomers.</w:t>
      </w:r>
    </w:p>
    <w:p w:rsidR="000E37D4" w:rsidRPr="004C3F92" w:rsidRDefault="000E37D4">
      <w:pPr>
        <w:pStyle w:val="Sangra2detindependiente"/>
        <w:spacing w:line="480" w:lineRule="auto"/>
      </w:pPr>
      <w:r w:rsidRPr="004C3F92">
        <w:t>A series of eight HS</w:t>
      </w:r>
      <w:fldSimple w:instr="SYMBOL 98 \f &quot;Symbol&quot;"/>
      <w:r w:rsidRPr="004C3F92">
        <w:t>CD solutions at different concentrations (1.24 mM to 37.9 mM) prepared in 20 mM borate buffer, pH 9.0 with the addition of 15% MeOH, were used as the background electrolyte for the determination of the equilibrium constant of the benzodiazepines host-guest complexes.</w:t>
      </w:r>
    </w:p>
    <w:p w:rsidR="000E37D4" w:rsidRPr="004C3F92" w:rsidRDefault="000E37D4" w:rsidP="00DE0E15">
      <w:pPr>
        <w:spacing w:line="480" w:lineRule="auto"/>
        <w:ind w:firstLine="720"/>
        <w:jc w:val="both"/>
      </w:pPr>
      <w:r w:rsidRPr="004C3F92">
        <w:t xml:space="preserve"> It is well known from the literature [3</w:t>
      </w:r>
      <w:r w:rsidR="00DE0E15">
        <w:t>5</w:t>
      </w:r>
      <w:r w:rsidRPr="004C3F92">
        <w:t>] that the mobility depends on the viscosity of the medium, the ionic strength, and the</w:t>
      </w:r>
      <w:r w:rsidRPr="004C3F92">
        <w:rPr>
          <w:color w:val="FF0000"/>
        </w:rPr>
        <w:t xml:space="preserve"> </w:t>
      </w:r>
      <w:r w:rsidRPr="004C3F92">
        <w:t>temperature. The mobilities of the drug-CD complex were calculated and corrected for the changes in viscosity and EOF. The EOF was determined using methanol as the neutral marker which was simultaneously detected at 200 nm. Electrophoretic mobilities were calculated by subtracting the EOF mobilities from the measured mobilities and then corrected for viscosity multiplied by the correction factor, Nx/No, where Nx and No are the viscosities at the ligant concentration [CD] and at free ligant concentration. In this work it was assumed that solute interactions with the wall-bound are negligible, only 1:1 complexation occurs, and no correction in the ionic strength was done. Therefore, conditional equilibrium constants K´ were obtained from our experiments.</w:t>
      </w:r>
    </w:p>
    <w:p w:rsidR="000E37D4" w:rsidRPr="004C3F92" w:rsidRDefault="000E37D4" w:rsidP="00DE0E15">
      <w:pPr>
        <w:spacing w:line="480" w:lineRule="auto"/>
        <w:ind w:firstLine="720"/>
        <w:jc w:val="both"/>
      </w:pPr>
      <w:r w:rsidRPr="004C3F92">
        <w:t>As a result, five different HS</w:t>
      </w:r>
      <w:r w:rsidRPr="004C3F92">
        <w:sym w:font="Symbol" w:char="F062"/>
      </w:r>
      <w:r w:rsidRPr="004C3F92">
        <w:t>CD (1.24, 11.19, 22.06, 32.12, and 37.9 mM ) concentrations were measured for viscosity with 1.11, 1.20, 1.26, 1.34, and 1.39 centipoises respectively. A linear (Newtonian) behavior of the CD solution viscosity, as a function of its concentration,</w:t>
      </w:r>
      <w:r w:rsidRPr="004C3F92">
        <w:rPr>
          <w:color w:val="FF0000"/>
        </w:rPr>
        <w:t xml:space="preserve"> </w:t>
      </w:r>
      <w:r w:rsidRPr="004C3F92">
        <w:t>was observed (slope 0.0072, intercept 1.1101 and R</w:t>
      </w:r>
      <w:r w:rsidRPr="004C3F92">
        <w:rPr>
          <w:position w:val="12"/>
          <w:sz w:val="16"/>
        </w:rPr>
        <w:t>2</w:t>
      </w:r>
      <w:r w:rsidRPr="004C3F92">
        <w:t xml:space="preserve"> 0.9946). Binding constants were determined by CE using the relationship between the CD concentration and the electrophoretic mobility of the analyte. The relationship used in this work (Eq. 3) was originally </w:t>
      </w:r>
      <w:r w:rsidRPr="004C3F92">
        <w:lastRenderedPageBreak/>
        <w:t>derived by Kuhn et al [3</w:t>
      </w:r>
      <w:r w:rsidR="00DE0E15">
        <w:t>5</w:t>
      </w:r>
      <w:r w:rsidRPr="004C3F92">
        <w:t>] to calculate binding constants for lectin-sugar systems and was later adapted by Tanaka et al [3</w:t>
      </w:r>
      <w:r w:rsidR="00DE0E15">
        <w:t>6</w:t>
      </w:r>
      <w:r w:rsidRPr="004C3F92">
        <w:t>] for enantioselective complexation using anionic CD.</w:t>
      </w:r>
    </w:p>
    <w:p w:rsidR="000E37D4" w:rsidRPr="004C3F92" w:rsidRDefault="000E37D4">
      <w:pPr>
        <w:spacing w:line="480" w:lineRule="auto"/>
        <w:ind w:firstLine="720"/>
        <w:jc w:val="both"/>
      </w:pPr>
      <w:r w:rsidRPr="004C3F92">
        <w:t xml:space="preserve">     </w:t>
      </w:r>
    </w:p>
    <w:p w:rsidR="000E37D4" w:rsidRPr="004C3F92" w:rsidRDefault="000E37D4">
      <w:pPr>
        <w:spacing w:line="480" w:lineRule="auto"/>
        <w:ind w:firstLine="720"/>
        <w:jc w:val="both"/>
      </w:pPr>
      <w:r w:rsidRPr="004C3F92">
        <w:rPr>
          <w:position w:val="-32"/>
        </w:rPr>
        <w:object w:dxaOrig="4140" w:dyaOrig="700">
          <v:shape id="_x0000_i1026" type="#_x0000_t75" style="width:241.1pt;height:40.9pt" o:ole="" fillcolor="window">
            <v:imagedata r:id="rId10" o:title=""/>
          </v:shape>
          <o:OLEObject Type="Embed" ProgID="Equation.3" ShapeID="_x0000_i1026" DrawAspect="Content" ObjectID="_1573625165" r:id="rId11"/>
        </w:object>
      </w:r>
      <w:r w:rsidRPr="004C3F92">
        <w:tab/>
      </w:r>
      <w:r w:rsidRPr="004C3F92">
        <w:tab/>
      </w:r>
      <w:r w:rsidRPr="004C3F92">
        <w:tab/>
      </w:r>
      <w:r w:rsidRPr="004C3F92">
        <w:tab/>
        <w:t>(3)</w:t>
      </w:r>
    </w:p>
    <w:p w:rsidR="000E37D4" w:rsidRPr="004C3F92" w:rsidRDefault="000E37D4">
      <w:pPr>
        <w:spacing w:line="480" w:lineRule="auto"/>
        <w:ind w:firstLine="720"/>
        <w:jc w:val="both"/>
      </w:pPr>
    </w:p>
    <w:p w:rsidR="000E37D4" w:rsidRPr="004C3F92" w:rsidRDefault="000E37D4" w:rsidP="003E402E">
      <w:pPr>
        <w:spacing w:line="480" w:lineRule="auto"/>
        <w:ind w:firstLine="720"/>
        <w:jc w:val="both"/>
      </w:pPr>
      <w:r w:rsidRPr="004C3F92">
        <w:t xml:space="preserve">Where </w:t>
      </w:r>
      <w:r w:rsidRPr="004C3F92">
        <w:sym w:font="Symbol" w:char="F06D"/>
      </w:r>
      <w:r w:rsidRPr="004C3F92">
        <w:rPr>
          <w:sz w:val="26"/>
          <w:vertAlign w:val="subscript"/>
        </w:rPr>
        <w:t>f</w:t>
      </w:r>
      <w:r w:rsidRPr="004C3F92">
        <w:t xml:space="preserve">, </w:t>
      </w:r>
      <w:r w:rsidRPr="004C3F92">
        <w:sym w:font="Symbol" w:char="F06D"/>
      </w:r>
      <w:r w:rsidRPr="004C3F92">
        <w:rPr>
          <w:sz w:val="26"/>
          <w:vertAlign w:val="subscript"/>
        </w:rPr>
        <w:t>CD</w:t>
      </w:r>
      <w:r w:rsidRPr="004C3F92">
        <w:t xml:space="preserve"> are the electrophoretic mobilities of the free and complexed analyte, </w:t>
      </w:r>
      <w:r w:rsidRPr="004C3F92">
        <w:sym w:font="Symbol" w:char="F06D"/>
      </w:r>
      <w:r w:rsidRPr="004C3F92">
        <w:rPr>
          <w:sz w:val="26"/>
          <w:vertAlign w:val="subscript"/>
        </w:rPr>
        <w:t>i</w:t>
      </w:r>
      <w:r w:rsidRPr="004C3F92">
        <w:t>, is the solute mobility measured at concentration, [CD]. The equilibrium constant is calculated from the intercept/slope of the linear equation. The advantage of this equation is that it</w:t>
      </w:r>
      <w:r w:rsidRPr="004C3F92">
        <w:rPr>
          <w:color w:val="FF0000"/>
        </w:rPr>
        <w:t xml:space="preserve"> </w:t>
      </w:r>
      <w:r w:rsidRPr="004C3F92">
        <w:t>is not necessary to know the value of the maximum mobility of the drug-CD complex which, many times, was observed to be overestimated at high CD concentration [3</w:t>
      </w:r>
      <w:r w:rsidR="003E402E">
        <w:t>7</w:t>
      </w:r>
      <w:r w:rsidRPr="004C3F92">
        <w:t xml:space="preserve">]. </w:t>
      </w:r>
    </w:p>
    <w:p w:rsidR="000E37D4" w:rsidRPr="004C3F92" w:rsidRDefault="000E37D4" w:rsidP="003E402E">
      <w:pPr>
        <w:spacing w:line="480" w:lineRule="auto"/>
        <w:ind w:firstLine="720"/>
        <w:jc w:val="both"/>
      </w:pPr>
      <w:r w:rsidRPr="004C3F92">
        <w:t>After mobility data were corrected for changes in solution viscosity, caused by changes in ligant concentration and in EOF, they were plotted against free-HS</w:t>
      </w:r>
      <w:fldSimple w:instr="SYMBOL 98 \f &quot;Symbol&quot;"/>
      <w:r w:rsidRPr="004C3F92">
        <w:t>CD concentration using the double-reciprocal format Eq. 3 (1/</w:t>
      </w:r>
      <w:r w:rsidRPr="004C3F92">
        <w:sym w:font="Symbol" w:char="F06D"/>
      </w:r>
      <w:r w:rsidRPr="004C3F92">
        <w:rPr>
          <w:vertAlign w:val="subscript"/>
        </w:rPr>
        <w:t>i</w:t>
      </w:r>
      <w:r w:rsidRPr="004C3F92">
        <w:t>-</w:t>
      </w:r>
      <w:r w:rsidRPr="004C3F92">
        <w:sym w:font="Symbol" w:char="F06D"/>
      </w:r>
      <w:r w:rsidRPr="004C3F92">
        <w:rPr>
          <w:vertAlign w:val="subscript"/>
        </w:rPr>
        <w:t>f</w:t>
      </w:r>
      <w:r w:rsidRPr="004C3F92">
        <w:t xml:space="preserve"> vs 1/[CD]). Linear equations were obtained from the mobility measurements and they are shown together with the experimental conditional equilibrium constants K´ and the intrinsic selectivity values in Table 4. Good fitting of the experimental data</w:t>
      </w:r>
      <w:r w:rsidRPr="004C3F92">
        <w:rPr>
          <w:color w:val="00FF00"/>
        </w:rPr>
        <w:t xml:space="preserve"> </w:t>
      </w:r>
      <w:r w:rsidRPr="004C3F92">
        <w:t>was obtained which confirms the 1:1 complex assumption. It was found that all benzodiazepines possess very weak binding constants to HS</w:t>
      </w:r>
      <w:r w:rsidRPr="004C3F92">
        <w:sym w:font="Symbol" w:char="F062"/>
      </w:r>
      <w:r w:rsidRPr="004C3F92">
        <w:t>CD. Since K's values are very small, it was necessary to use, experimentally, the highest CD concentration (5.0 %) to obtain the maximum enantiomer resolution for all cases. On the other hand, theoretically, the optimal CD concentration can be calculated according to the relationship proposed by Wren et al. Eq. 4 [3</w:t>
      </w:r>
      <w:r w:rsidR="003E402E">
        <w:t>3</w:t>
      </w:r>
      <w:r w:rsidRPr="004C3F92">
        <w:t>-3</w:t>
      </w:r>
      <w:r w:rsidR="003E402E">
        <w:t>4</w:t>
      </w:r>
      <w:r w:rsidRPr="004C3F92">
        <w:t>] where the CD optimum is equal to the reciprocal of the square root product of the K</w:t>
      </w:r>
      <w:r w:rsidRPr="004C3F92">
        <w:rPr>
          <w:position w:val="-6"/>
          <w:sz w:val="20"/>
        </w:rPr>
        <w:t>1</w:t>
      </w:r>
      <w:r w:rsidRPr="004C3F92">
        <w:t xml:space="preserve"> and K</w:t>
      </w:r>
      <w:r w:rsidRPr="004C3F92">
        <w:rPr>
          <w:position w:val="-6"/>
          <w:sz w:val="20"/>
        </w:rPr>
        <w:t>2</w:t>
      </w:r>
      <w:r w:rsidRPr="004C3F92">
        <w:t>.</w:t>
      </w:r>
    </w:p>
    <w:p w:rsidR="000E37D4" w:rsidRPr="004C3F92" w:rsidRDefault="000E37D4">
      <w:pPr>
        <w:spacing w:line="480" w:lineRule="auto"/>
        <w:ind w:left="2160" w:firstLine="720"/>
      </w:pPr>
      <w:r w:rsidRPr="004C3F92">
        <w:rPr>
          <w:position w:val="-32"/>
        </w:rPr>
        <w:object w:dxaOrig="1760" w:dyaOrig="700">
          <v:shape id="_x0000_i1027" type="#_x0000_t75" style="width:111.25pt;height:44.2pt" o:ole="" fillcolor="window">
            <v:imagedata r:id="rId12" o:title=""/>
          </v:shape>
          <o:OLEObject Type="Embed" ProgID="Equation.3" ShapeID="_x0000_i1027" DrawAspect="Content" ObjectID="_1573625166" r:id="rId13"/>
        </w:object>
      </w:r>
      <w:r w:rsidRPr="004C3F92">
        <w:tab/>
      </w:r>
      <w:r w:rsidRPr="004C3F92">
        <w:tab/>
      </w:r>
      <w:r w:rsidRPr="004C3F92">
        <w:tab/>
      </w:r>
      <w:r w:rsidRPr="004C3F92">
        <w:tab/>
        <w:t>(4)</w:t>
      </w:r>
    </w:p>
    <w:p w:rsidR="000E37D4" w:rsidRPr="004C3F92" w:rsidRDefault="000E37D4">
      <w:pPr>
        <w:spacing w:line="480" w:lineRule="auto"/>
        <w:ind w:firstLine="720"/>
        <w:jc w:val="both"/>
      </w:pPr>
    </w:p>
    <w:p w:rsidR="000E37D4" w:rsidRPr="004C3F92" w:rsidRDefault="000E37D4" w:rsidP="00D870C5">
      <w:pPr>
        <w:pStyle w:val="Sangra2detindependiente"/>
        <w:spacing w:line="480" w:lineRule="auto"/>
      </w:pPr>
      <w:r w:rsidRPr="004C3F92">
        <w:t xml:space="preserve"> Using Eq.4 and the obtained conditional binding constants (K’) from Table 4, the CD optimal concentrations calculated were 28.55, 40.23, 59.64 and 38.02 mM for temazepam, lorazepam, oxazepam, and lormetazepam, respectively. It can be observed, that in most of the cases (except for temazepam),</w:t>
      </w:r>
      <w:r w:rsidR="00D870C5" w:rsidRPr="004C3F92">
        <w:t xml:space="preserve"> </w:t>
      </w:r>
      <w:r w:rsidRPr="004C3F92">
        <w:t>the calculated optimal CD concentration is experimentally limited by the Joule heat that can be generated by the high current at CD concentration greater than 37.9 mM (approximately 7%). Therefore, for practical use, it is impossible to utilize those optimal concentrations to perform the benzodiazepines chiral separation. It is preferable to use the highest HS</w:t>
      </w:r>
      <w:r w:rsidRPr="004C3F92">
        <w:sym w:font="Symbol" w:char="F062"/>
      </w:r>
      <w:r w:rsidRPr="004C3F92">
        <w:t>CD concentration that is experimentally possible (7% instead of 5%) that was found to be most favorable in experiment 8 of the experimental design.</w:t>
      </w:r>
    </w:p>
    <w:p w:rsidR="000E37D4" w:rsidRPr="004C3F92" w:rsidRDefault="000E37D4" w:rsidP="00D870C5">
      <w:pPr>
        <w:pStyle w:val="Sangra2detindependiente"/>
        <w:spacing w:line="480" w:lineRule="auto"/>
      </w:pPr>
      <w:r w:rsidRPr="004C3F92">
        <w:t>It was detected that, for benzodiazepines, the higher the selectivity for HS</w:t>
      </w:r>
      <w:r w:rsidRPr="004C3F92">
        <w:sym w:font="Symbol" w:char="F062"/>
      </w:r>
      <w:r w:rsidRPr="004C3F92">
        <w:t>CD the higher the resolution and both decreased in the following order; oxazepam &gt; temazepam &gt; lorazepam &gt; lorazepam (Table 4, Fig. 5).</w:t>
      </w:r>
    </w:p>
    <w:p w:rsidR="000E37D4" w:rsidRPr="004C3F92" w:rsidRDefault="000E37D4" w:rsidP="003E402E">
      <w:pPr>
        <w:spacing w:line="480" w:lineRule="auto"/>
        <w:ind w:firstLine="720"/>
        <w:jc w:val="both"/>
      </w:pPr>
      <w:r w:rsidRPr="004C3F92">
        <w:t>It should be mentioned that the equilibrium free ligant concentration [CD</w:t>
      </w:r>
      <w:r w:rsidRPr="004C3F92">
        <w:rPr>
          <w:position w:val="-6"/>
          <w:sz w:val="20"/>
        </w:rPr>
        <w:t>free</w:t>
      </w:r>
      <w:r w:rsidRPr="004C3F92">
        <w:t>] was approximately the same as the total ligant concentration [CD</w:t>
      </w:r>
      <w:r w:rsidRPr="004C3F92">
        <w:rPr>
          <w:position w:val="-6"/>
          <w:sz w:val="20"/>
        </w:rPr>
        <w:t>total</w:t>
      </w:r>
      <w:r w:rsidRPr="004C3F92">
        <w:t>]. This approximation can be done when [CD</w:t>
      </w:r>
      <w:r w:rsidRPr="004C3F92">
        <w:rPr>
          <w:position w:val="-6"/>
          <w:sz w:val="20"/>
        </w:rPr>
        <w:t>total</w:t>
      </w:r>
      <w:r w:rsidRPr="004C3F92">
        <w:t xml:space="preserve">]/10 </w:t>
      </w:r>
      <w:fldSimple w:instr="SYMBOL 179 \f &quot;Symbol&quot;"/>
      <w:r w:rsidRPr="004C3F92">
        <w:t xml:space="preserve"> [analyte] or when the complexation equilibrium constants, K</w:t>
      </w:r>
      <w:r w:rsidRPr="004C3F92">
        <w:rPr>
          <w:position w:val="-6"/>
          <w:sz w:val="20"/>
        </w:rPr>
        <w:t>1</w:t>
      </w:r>
      <w:r w:rsidRPr="004C3F92">
        <w:t>, K</w:t>
      </w:r>
      <w:r w:rsidRPr="004C3F92">
        <w:rPr>
          <w:position w:val="-6"/>
          <w:sz w:val="20"/>
        </w:rPr>
        <w:t>2</w:t>
      </w:r>
      <w:r w:rsidRPr="004C3F92">
        <w:t xml:space="preserve"> are not too large [3</w:t>
      </w:r>
      <w:r w:rsidR="003E402E">
        <w:t>8</w:t>
      </w:r>
      <w:r w:rsidRPr="004C3F92">
        <w:t>], such as in this specific case (see Table 4)</w:t>
      </w:r>
      <w:r w:rsidRPr="004C3F92">
        <w:rPr>
          <w:b/>
        </w:rPr>
        <w:t>.</w:t>
      </w:r>
      <w:r w:rsidRPr="004C3F92">
        <w:t xml:space="preserve"> In addition, the mobility is influenced by the absorption of the charged chiral selector on the capillary wall as was reported before by Gratz et al [3</w:t>
      </w:r>
      <w:r w:rsidR="003E402E">
        <w:t>9</w:t>
      </w:r>
      <w:r w:rsidRPr="004C3F92">
        <w:t>]. Because they observed that it is a dynamical process, no corrections for absorption were incorporated to the equilibrium constants calculated in this work.</w:t>
      </w:r>
    </w:p>
    <w:p w:rsidR="000E37D4" w:rsidRPr="004C3F92" w:rsidRDefault="000E37D4">
      <w:pPr>
        <w:spacing w:line="480" w:lineRule="auto"/>
        <w:ind w:right="270"/>
        <w:jc w:val="both"/>
        <w:rPr>
          <w:b/>
          <w:i/>
        </w:rPr>
      </w:pPr>
    </w:p>
    <w:p w:rsidR="000E37D4" w:rsidRPr="00BE2BED" w:rsidRDefault="000E37D4">
      <w:pPr>
        <w:pStyle w:val="Ttulo6"/>
        <w:rPr>
          <w:i/>
          <w:iCs/>
          <w:caps w:val="0"/>
        </w:rPr>
      </w:pPr>
      <w:r w:rsidRPr="00BE2BED">
        <w:rPr>
          <w:i/>
          <w:iCs/>
          <w:caps w:val="0"/>
        </w:rPr>
        <w:lastRenderedPageBreak/>
        <w:t>Molecular Modeling Studies</w:t>
      </w:r>
    </w:p>
    <w:p w:rsidR="00D870C5" w:rsidRPr="004C3F92" w:rsidRDefault="000E37D4" w:rsidP="003E402E">
      <w:pPr>
        <w:spacing w:line="480" w:lineRule="auto"/>
        <w:ind w:right="270" w:firstLine="720"/>
        <w:jc w:val="both"/>
      </w:pPr>
      <w:r w:rsidRPr="004C3F92">
        <w:t>The initial geometry of the HS</w:t>
      </w:r>
      <w:r w:rsidRPr="004C3F92">
        <w:sym w:font="Symbol" w:char="F062"/>
      </w:r>
      <w:r w:rsidRPr="004C3F92">
        <w:t xml:space="preserve">CD was based on the </w:t>
      </w:r>
      <w:r w:rsidRPr="004C3F92">
        <w:sym w:font="Symbol" w:char="F062"/>
      </w:r>
      <w:r w:rsidRPr="004C3F92">
        <w:t>CD X-ray structure, imported from Cambridge Crystal Structure Database [</w:t>
      </w:r>
      <w:r w:rsidR="003E402E">
        <w:t>40</w:t>
      </w:r>
      <w:r w:rsidRPr="004C3F92">
        <w:t>], with the subsequent addition and optimization of the sulfate groups on the position 6 of the sugar moiety. On the other hand, all the benzodiazepine geometries were obtained by molecular mechanics MMX [</w:t>
      </w:r>
      <w:r w:rsidR="003E402E">
        <w:t>41</w:t>
      </w:r>
      <w:r w:rsidRPr="004C3F92">
        <w:t>] using the PCMODEL 1.0 software [4</w:t>
      </w:r>
      <w:r w:rsidR="003E402E">
        <w:t>2</w:t>
      </w:r>
      <w:r w:rsidRPr="004C3F92">
        <w:t>]. The subsequent calculations were carried out with the semiempirical method AM1 [4</w:t>
      </w:r>
      <w:r w:rsidR="003E402E">
        <w:t>3</w:t>
      </w:r>
      <w:r w:rsidRPr="004C3F92">
        <w:t>] included in the MOPAC 6.0 software [4</w:t>
      </w:r>
      <w:r w:rsidR="003E402E">
        <w:t>4</w:t>
      </w:r>
      <w:r w:rsidRPr="004C3F92">
        <w:t>].</w:t>
      </w:r>
    </w:p>
    <w:p w:rsidR="000E37D4" w:rsidRPr="004C3F92" w:rsidRDefault="000E37D4" w:rsidP="00D870C5">
      <w:pPr>
        <w:spacing w:line="480" w:lineRule="auto"/>
        <w:ind w:right="270" w:firstLine="720"/>
        <w:jc w:val="both"/>
      </w:pPr>
      <w:r w:rsidRPr="004C3F92">
        <w:t>The conformational analysis of the benzodiazepines was performed by the inversion of the C3 (chiral carbon), as well as the rotation barrier of the bond in the position C5. After minimization of the molecular energy for all structures, 3 stable conformations for oxazepam and temazepam were found, as well as 6 stable conformations for lorazepam and lormetazepam. Due to the unavailability of sufficient computational time, only the most stable conformers of the benzodiazepines were used to perform the subsequent calculations.</w:t>
      </w:r>
    </w:p>
    <w:p w:rsidR="000E37D4" w:rsidRPr="004C3F92" w:rsidRDefault="000E37D4" w:rsidP="00247949">
      <w:pPr>
        <w:spacing w:line="480" w:lineRule="auto"/>
        <w:ind w:right="270"/>
        <w:jc w:val="both"/>
      </w:pPr>
      <w:r w:rsidRPr="004C3F92">
        <w:tab/>
        <w:t xml:space="preserve">Two molecular models were proposed to be computed (Fig. 7). First, an inclusion complex where the benzodiazepine interacts with the cyclodextrin </w:t>
      </w:r>
      <w:r w:rsidR="00247949" w:rsidRPr="004C3F92">
        <w:t>cavity, t</w:t>
      </w:r>
      <w:r w:rsidRPr="004C3F92">
        <w:t>he second one, an external compound interaction with the smallest rim of the CD close to the sulfate groups. Each molecular model was constructed using the more abundant conformations (Table 5). A mathematical model was built using the calculated formation energies for the proposed complexes and the Boltzmann distribution low (Eq. 5).</w:t>
      </w:r>
    </w:p>
    <w:p w:rsidR="000E37D4" w:rsidRPr="004C3F92" w:rsidRDefault="000E37D4">
      <w:pPr>
        <w:spacing w:line="480" w:lineRule="auto"/>
        <w:ind w:right="270"/>
        <w:jc w:val="both"/>
      </w:pPr>
    </w:p>
    <w:p w:rsidR="000E37D4" w:rsidRPr="004C3F92" w:rsidRDefault="000E37D4">
      <w:pPr>
        <w:spacing w:line="480" w:lineRule="auto"/>
        <w:ind w:right="270"/>
        <w:jc w:val="center"/>
      </w:pPr>
      <w:r w:rsidRPr="004C3F92">
        <w:rPr>
          <w:position w:val="-64"/>
        </w:rPr>
        <w:object w:dxaOrig="3780" w:dyaOrig="1400">
          <v:shape id="_x0000_i1028" type="#_x0000_t75" style="width:201.8pt;height:75.25pt" o:ole="" fillcolor="window">
            <v:imagedata r:id="rId14" o:title=""/>
          </v:shape>
          <o:OLEObject Type="Embed" ProgID="Equation.3" ShapeID="_x0000_i1028" DrawAspect="Content" ObjectID="_1573625167" r:id="rId15"/>
        </w:object>
      </w:r>
      <w:r w:rsidRPr="004C3F92">
        <w:tab/>
      </w:r>
      <w:r w:rsidRPr="004C3F92">
        <w:tab/>
        <w:t>(5)</w:t>
      </w:r>
    </w:p>
    <w:p w:rsidR="000E37D4" w:rsidRPr="004C3F92" w:rsidRDefault="000E37D4">
      <w:pPr>
        <w:spacing w:line="480" w:lineRule="auto"/>
        <w:ind w:right="270"/>
        <w:jc w:val="both"/>
      </w:pPr>
    </w:p>
    <w:p w:rsidR="000E37D4" w:rsidRPr="004C3F92" w:rsidRDefault="000E37D4">
      <w:pPr>
        <w:spacing w:line="480" w:lineRule="auto"/>
        <w:ind w:right="270"/>
        <w:jc w:val="both"/>
        <w:rPr>
          <w:b/>
        </w:rPr>
      </w:pPr>
      <w:r w:rsidRPr="004C3F92">
        <w:t xml:space="preserve">where T is the temperature (25 </w:t>
      </w:r>
      <w:r w:rsidRPr="004C3F92">
        <w:rPr>
          <w:vertAlign w:val="superscript"/>
        </w:rPr>
        <w:t>o</w:t>
      </w:r>
      <w:r w:rsidRPr="004C3F92">
        <w:t xml:space="preserve">C), R is the gases constant, and </w:t>
      </w:r>
      <w:r w:rsidRPr="004C3F92">
        <w:rPr>
          <w:sz w:val="28"/>
        </w:rPr>
        <w:sym w:font="Symbol" w:char="F065"/>
      </w:r>
      <w:r w:rsidRPr="004C3F92">
        <w:rPr>
          <w:sz w:val="28"/>
          <w:vertAlign w:val="subscript"/>
        </w:rPr>
        <w:t>i</w:t>
      </w:r>
      <w:r w:rsidRPr="004C3F92">
        <w:t xml:space="preserve"> is the energy of the i-th complex. The results obtained, applying the mathematical model, are summarized in Table 6. The energy calculation predicted the elution order of each enantiomer correctly. The calculated stability ratios “</w:t>
      </w:r>
      <w:r w:rsidRPr="004C3F92">
        <w:sym w:font="Symbol" w:char="F061"/>
      </w:r>
      <w:r w:rsidRPr="004C3F92">
        <w:rPr>
          <w:vertAlign w:val="subscript"/>
        </w:rPr>
        <w:t>i</w:t>
      </w:r>
      <w:r w:rsidRPr="004C3F92">
        <w:t>” (also known as population distribution ratio) for the inclusion complexes have the same tendency as the intrinsic selectivity calculated experimentally (</w:t>
      </w:r>
      <w:r w:rsidRPr="004C3F92">
        <w:sym w:font="Symbol" w:char="F061"/>
      </w:r>
      <w:r w:rsidRPr="004C3F92">
        <w:t xml:space="preserve"> = K</w:t>
      </w:r>
      <w:r w:rsidRPr="004C3F92">
        <w:rPr>
          <w:vertAlign w:val="subscript"/>
        </w:rPr>
        <w:t>2</w:t>
      </w:r>
      <w:r w:rsidRPr="004C3F92">
        <w:t>/K</w:t>
      </w:r>
      <w:r w:rsidRPr="004C3F92">
        <w:rPr>
          <w:vertAlign w:val="subscript"/>
        </w:rPr>
        <w:t>1</w:t>
      </w:r>
      <w:r w:rsidRPr="004C3F92">
        <w:t>). The results of the molecular modeling leads to the conclusion that the exclusion complexes are more stable than the inclusion complexes. However, the inclusion complex model reproduces, in a satisfactory way, the tendency of the observed experimental results. It was also observed, in the molecular modeling, that the R benzodiazepine enantiomers have higher superficial interaction with the HS</w:t>
      </w:r>
      <w:r w:rsidRPr="004C3F92">
        <w:sym w:font="Symbol" w:char="F062"/>
      </w:r>
      <w:r w:rsidRPr="004C3F92">
        <w:t xml:space="preserve">CD than the S ones. Therefore, it is probable that the first elute should be the S enantiomers. </w:t>
      </w:r>
    </w:p>
    <w:p w:rsidR="000E37D4" w:rsidRPr="004C3F92" w:rsidRDefault="000E37D4">
      <w:pPr>
        <w:spacing w:line="480" w:lineRule="auto"/>
        <w:ind w:right="270"/>
        <w:jc w:val="both"/>
        <w:rPr>
          <w:b/>
          <w:i/>
        </w:rPr>
      </w:pPr>
    </w:p>
    <w:p w:rsidR="000E37D4" w:rsidRPr="004C3F92" w:rsidRDefault="000E37D4">
      <w:pPr>
        <w:spacing w:line="480" w:lineRule="auto"/>
        <w:ind w:right="270"/>
        <w:jc w:val="both"/>
        <w:rPr>
          <w:b/>
          <w:i/>
        </w:rPr>
      </w:pPr>
      <w:r w:rsidRPr="004C3F92">
        <w:rPr>
          <w:b/>
          <w:i/>
        </w:rPr>
        <w:t>Influence of the molecular structure</w:t>
      </w:r>
    </w:p>
    <w:p w:rsidR="000E37D4" w:rsidRPr="004C3F92" w:rsidRDefault="000E37D4">
      <w:pPr>
        <w:spacing w:line="480" w:lineRule="auto"/>
        <w:ind w:right="270" w:firstLine="720"/>
        <w:jc w:val="both"/>
      </w:pPr>
      <w:r w:rsidRPr="004C3F92">
        <w:tab/>
        <w:t>According to these molecular modeling calculations and the molecular structures of the benzodiazepines (Fig. 1), it can be suggested that the most probable interaction characteristic of the benzodiazepines, with the HS</w:t>
      </w:r>
      <w:r w:rsidRPr="004C3F92">
        <w:sym w:font="Symbol" w:char="F062"/>
      </w:r>
      <w:r w:rsidRPr="004C3F92">
        <w:t>CD, seems to be the inclusion of the aromatic group attached to the C7. The absence of Cl-substitution in R</w:t>
      </w:r>
      <w:r w:rsidRPr="004C3F92">
        <w:rPr>
          <w:vertAlign w:val="subscript"/>
        </w:rPr>
        <w:t>1</w:t>
      </w:r>
      <w:r w:rsidRPr="004C3F92">
        <w:t xml:space="preserve"> would suggest that the HS</w:t>
      </w:r>
      <w:fldSimple w:instr="SYMBOL 98 \f &quot;Symbol&quot;"/>
      <w:r w:rsidRPr="004C3F92">
        <w:t>CD had higher enantioselectivity for oxazepam and temazepan than with the other compounds. In the case of lorazepam and lormetazepam, the presence of the N1 methyl group could make the HS</w:t>
      </w:r>
      <w:fldSimple w:instr="SYMBOL 98 \f &quot;Symbol&quot;"/>
      <w:r w:rsidRPr="004C3F92">
        <w:t xml:space="preserve">CD less enantioselective for lormetazepam than for lorazepam. It is also probable that the hydroxyl group, attached to the chiral carbon (C3), must have a kind of </w:t>
      </w:r>
      <w:r w:rsidRPr="004C3F92">
        <w:lastRenderedPageBreak/>
        <w:t xml:space="preserve">interaction (i.e. hydrogen bounding) with the sulfate groups of the upper rim that can stabilize the complex. </w:t>
      </w:r>
    </w:p>
    <w:p w:rsidR="00186162" w:rsidRPr="004C3F92" w:rsidRDefault="00186162">
      <w:pPr>
        <w:spacing w:line="480" w:lineRule="auto"/>
        <w:ind w:right="270"/>
        <w:jc w:val="both"/>
        <w:rPr>
          <w:b/>
          <w:caps/>
        </w:rPr>
      </w:pPr>
    </w:p>
    <w:p w:rsidR="000E37D4" w:rsidRPr="004C3F92" w:rsidRDefault="000E37D4">
      <w:pPr>
        <w:pStyle w:val="Ttulo6"/>
      </w:pPr>
      <w:r w:rsidRPr="004C3F92">
        <w:t>conclusions</w:t>
      </w:r>
    </w:p>
    <w:p w:rsidR="000E37D4" w:rsidRPr="004C3F92" w:rsidRDefault="000E37D4" w:rsidP="00E53946">
      <w:pPr>
        <w:pStyle w:val="Textoindependiente3"/>
        <w:spacing w:line="480" w:lineRule="auto"/>
      </w:pPr>
      <w:r w:rsidRPr="004C3F92">
        <w:tab/>
        <w:t xml:space="preserve">Host-guest interaction with CD was found to be useful for the separation of the enantiomers of the 3-chiral-1,4-benzodiazepines. The use of highly sulfated cyclodextrins as chiral agents provided a net mobility to the formed diasteromers (drug-CD complexes) which allows us to obtain separation. </w:t>
      </w:r>
      <w:r w:rsidR="00E53946" w:rsidRPr="00E53946">
        <w:t xml:space="preserve">The fractional factorial design of 3 levels was an efficient scheme for the selection of good experimental conditions to obtain high resolutions (between 3.09 and 33.2) with only 9 experiments. </w:t>
      </w:r>
      <w:r w:rsidRPr="004C3F92">
        <w:t>The separation of the two enantiomers of the benzodiazepines can take place because there is a difference in the binding constants (K’) between each enantiomer and the chiral selector, as well as a difference between the mobility of the free analyte and the complexed one. Knowledge of binding constants can provide a better understanding of the separation mechanism and, consequently, can help in predicting migration behavior and designing optimization strategies. Molecular modeling studies allow us to conclude that the exclusion complexes are more stable than the inclusion complexes. However, the latter ones reproduce, in a satisfactory way, the tendency of the experimental results observed. The models obtained, through means of these kinds of calculations, can provide us with a good approach on how the analyte can interact with the CD in solution.</w:t>
      </w:r>
      <w:r w:rsidR="001433BC">
        <w:t xml:space="preserve"> </w:t>
      </w:r>
      <w:r w:rsidR="001433BC" w:rsidRPr="001433BC">
        <w:t>This showed that the enantiomers of benzodiazepine R have a greater surface interaction with HS</w:t>
      </w:r>
      <w:r w:rsidR="001433BC" w:rsidRPr="001433BC">
        <w:rPr>
          <w:rFonts w:ascii="Symbol" w:hAnsi="Symbol"/>
        </w:rPr>
        <w:t></w:t>
      </w:r>
      <w:r w:rsidR="001433BC" w:rsidRPr="001433BC">
        <w:t>CD than S. Therefore, it is likely that the first eluated peak is the S enantiomer, which is extremely useful when the standards of the pure enantiomers are not available.</w:t>
      </w:r>
    </w:p>
    <w:p w:rsidR="000E37D4" w:rsidRPr="004C3F92" w:rsidRDefault="000E37D4">
      <w:pPr>
        <w:pStyle w:val="Textoindependiente3"/>
        <w:spacing w:line="480" w:lineRule="auto"/>
      </w:pPr>
    </w:p>
    <w:p w:rsidR="000E37D4" w:rsidRPr="004C3F92" w:rsidRDefault="000E37D4">
      <w:pPr>
        <w:pStyle w:val="Ttulo4"/>
        <w:spacing w:line="480" w:lineRule="auto"/>
      </w:pPr>
      <w:r w:rsidRPr="004C3F92">
        <w:lastRenderedPageBreak/>
        <w:t>REFERENCES</w:t>
      </w:r>
    </w:p>
    <w:p w:rsidR="000E37D4" w:rsidRPr="004C3F92" w:rsidRDefault="000E37D4" w:rsidP="001433BC">
      <w:pPr>
        <w:spacing w:line="480" w:lineRule="auto"/>
        <w:ind w:left="426" w:hanging="426"/>
      </w:pPr>
      <w:r w:rsidRPr="004C3F92">
        <w:t xml:space="preserve">[1] Mattson, </w:t>
      </w:r>
      <w:r w:rsidR="001433BC" w:rsidRPr="004C3F92">
        <w:t xml:space="preserve">R.H. </w:t>
      </w:r>
      <w:r w:rsidRPr="004C3F92">
        <w:t xml:space="preserve">in Woodbury, </w:t>
      </w:r>
      <w:r w:rsidR="001433BC" w:rsidRPr="004C3F92">
        <w:t>D.M.</w:t>
      </w:r>
      <w:r w:rsidR="001433BC">
        <w:t>,</w:t>
      </w:r>
      <w:r w:rsidR="001433BC" w:rsidRPr="004C3F92">
        <w:t xml:space="preserve"> </w:t>
      </w:r>
      <w:r w:rsidRPr="004C3F92">
        <w:t xml:space="preserve">Penry </w:t>
      </w:r>
      <w:r w:rsidR="001433BC" w:rsidRPr="004C3F92">
        <w:t xml:space="preserve">J.K. </w:t>
      </w:r>
      <w:r w:rsidRPr="004C3F92">
        <w:t xml:space="preserve">and Schmidt </w:t>
      </w:r>
      <w:r w:rsidR="001433BC" w:rsidRPr="004C3F92">
        <w:t xml:space="preserve">R.P. </w:t>
      </w:r>
      <w:r w:rsidRPr="004C3F92">
        <w:t xml:space="preserve">(Editors), </w:t>
      </w:r>
      <w:r w:rsidRPr="004C3F92">
        <w:rPr>
          <w:i/>
        </w:rPr>
        <w:t>Antiepilectic Drugs</w:t>
      </w:r>
      <w:r w:rsidRPr="004C3F92">
        <w:t xml:space="preserve">, </w:t>
      </w:r>
      <w:r w:rsidR="001433BC">
        <w:t xml:space="preserve">Raven Press, New York, </w:t>
      </w:r>
      <w:r w:rsidR="001433BC" w:rsidRPr="001433BC">
        <w:rPr>
          <w:b/>
          <w:bCs/>
        </w:rPr>
        <w:t>1982</w:t>
      </w:r>
      <w:r w:rsidR="001433BC">
        <w:t xml:space="preserve">, </w:t>
      </w:r>
      <w:r w:rsidRPr="004C3F92">
        <w:t>497.</w:t>
      </w:r>
    </w:p>
    <w:p w:rsidR="000E37D4" w:rsidRPr="004C3F92" w:rsidRDefault="000E37D4" w:rsidP="001433BC">
      <w:pPr>
        <w:spacing w:line="480" w:lineRule="auto"/>
        <w:ind w:left="426" w:hanging="426"/>
      </w:pPr>
      <w:r w:rsidRPr="004C3F92">
        <w:t xml:space="preserve">[2] Möhler </w:t>
      </w:r>
      <w:r w:rsidR="001433BC" w:rsidRPr="004C3F92">
        <w:t xml:space="preserve">H. </w:t>
      </w:r>
      <w:r w:rsidRPr="004C3F92">
        <w:t xml:space="preserve">and Okada, </w:t>
      </w:r>
      <w:r w:rsidR="001433BC" w:rsidRPr="004C3F92">
        <w:t xml:space="preserve">T. </w:t>
      </w:r>
      <w:r w:rsidRPr="004C3F92">
        <w:rPr>
          <w:i/>
        </w:rPr>
        <w:t>Science</w:t>
      </w:r>
      <w:r w:rsidRPr="004C3F92">
        <w:t xml:space="preserve">, </w:t>
      </w:r>
      <w:r w:rsidR="001433BC" w:rsidRPr="001433BC">
        <w:rPr>
          <w:b/>
          <w:bCs/>
        </w:rPr>
        <w:t>1977</w:t>
      </w:r>
      <w:r w:rsidR="001433BC">
        <w:t xml:space="preserve">, </w:t>
      </w:r>
      <w:r w:rsidRPr="004C3F92">
        <w:t>198, 849-851.</w:t>
      </w:r>
    </w:p>
    <w:p w:rsidR="000E37D4" w:rsidRPr="004C3F92" w:rsidRDefault="000E37D4" w:rsidP="001433BC">
      <w:pPr>
        <w:spacing w:line="480" w:lineRule="auto"/>
        <w:ind w:left="426" w:hanging="426"/>
      </w:pPr>
      <w:r w:rsidRPr="004C3F92">
        <w:t xml:space="preserve">[3] Maksay, </w:t>
      </w:r>
      <w:r w:rsidR="001433BC" w:rsidRPr="004C3F92">
        <w:t>G.</w:t>
      </w:r>
      <w:r w:rsidR="001433BC">
        <w:t>,</w:t>
      </w:r>
      <w:r w:rsidR="001433BC" w:rsidRPr="004C3F92">
        <w:t xml:space="preserve"> </w:t>
      </w:r>
      <w:r w:rsidRPr="004C3F92">
        <w:t xml:space="preserve">Tegyey </w:t>
      </w:r>
      <w:r w:rsidR="001433BC" w:rsidRPr="004C3F92">
        <w:t xml:space="preserve">Z. </w:t>
      </w:r>
      <w:r w:rsidRPr="004C3F92">
        <w:t xml:space="preserve">and Otvos, </w:t>
      </w:r>
      <w:r w:rsidR="001433BC" w:rsidRPr="004C3F92">
        <w:t xml:space="preserve">L. </w:t>
      </w:r>
      <w:r w:rsidRPr="004C3F92">
        <w:rPr>
          <w:i/>
        </w:rPr>
        <w:t xml:space="preserve">J. Pharm. Sci., </w:t>
      </w:r>
      <w:r w:rsidR="001433BC" w:rsidRPr="001433BC">
        <w:rPr>
          <w:b/>
          <w:bCs/>
        </w:rPr>
        <w:t>1978</w:t>
      </w:r>
      <w:r w:rsidR="001433BC">
        <w:t xml:space="preserve">, 67, </w:t>
      </w:r>
      <w:r w:rsidRPr="004C3F92">
        <w:t>1208-1210.</w:t>
      </w:r>
    </w:p>
    <w:p w:rsidR="000E37D4" w:rsidRPr="004C3F92" w:rsidRDefault="000E37D4" w:rsidP="001433BC">
      <w:pPr>
        <w:spacing w:line="480" w:lineRule="auto"/>
        <w:ind w:left="426" w:hanging="426"/>
      </w:pPr>
      <w:r w:rsidRPr="004C3F92">
        <w:t xml:space="preserve">[4] Salvadori, </w:t>
      </w:r>
      <w:r w:rsidR="001433BC" w:rsidRPr="004C3F92">
        <w:t>P.</w:t>
      </w:r>
      <w:r w:rsidR="001433BC">
        <w:t>,</w:t>
      </w:r>
      <w:r w:rsidR="001433BC" w:rsidRPr="004C3F92">
        <w:t xml:space="preserve"> </w:t>
      </w:r>
      <w:r w:rsidRPr="004C3F92">
        <w:t xml:space="preserve">Bertucci, </w:t>
      </w:r>
      <w:r w:rsidR="001433BC" w:rsidRPr="004C3F92">
        <w:t>C.</w:t>
      </w:r>
      <w:r w:rsidR="001433BC">
        <w:t>,</w:t>
      </w:r>
      <w:r w:rsidR="001433BC" w:rsidRPr="004C3F92">
        <w:t xml:space="preserve"> </w:t>
      </w:r>
      <w:r w:rsidRPr="004C3F92">
        <w:t>Domenici</w:t>
      </w:r>
      <w:r w:rsidR="001433BC">
        <w:t>,</w:t>
      </w:r>
      <w:r w:rsidRPr="004C3F92">
        <w:t xml:space="preserve"> </w:t>
      </w:r>
      <w:r w:rsidR="001433BC" w:rsidRPr="004C3F92">
        <w:t xml:space="preserve">E. </w:t>
      </w:r>
      <w:r w:rsidRPr="004C3F92">
        <w:t xml:space="preserve">and Giannaccini, </w:t>
      </w:r>
      <w:r w:rsidR="001433BC" w:rsidRPr="004C3F92">
        <w:t xml:space="preserve">G. </w:t>
      </w:r>
      <w:r w:rsidRPr="004C3F92">
        <w:rPr>
          <w:i/>
        </w:rPr>
        <w:t>J. Pharm. Biom. Anal.</w:t>
      </w:r>
      <w:r w:rsidRPr="004C3F92">
        <w:t xml:space="preserve">, </w:t>
      </w:r>
      <w:r w:rsidR="001433BC" w:rsidRPr="001433BC">
        <w:rPr>
          <w:b/>
          <w:bCs/>
        </w:rPr>
        <w:t>1989</w:t>
      </w:r>
      <w:r w:rsidR="001433BC">
        <w:t xml:space="preserve">, 7, </w:t>
      </w:r>
      <w:r w:rsidRPr="004C3F92">
        <w:t>1735.</w:t>
      </w:r>
    </w:p>
    <w:p w:rsidR="000E37D4" w:rsidRPr="004C3F92" w:rsidRDefault="000E37D4" w:rsidP="001433BC">
      <w:pPr>
        <w:spacing w:line="480" w:lineRule="auto"/>
        <w:ind w:left="426" w:hanging="426"/>
      </w:pPr>
      <w:r w:rsidRPr="004C3F92">
        <w:t xml:space="preserve">[5] Lu </w:t>
      </w:r>
      <w:r w:rsidR="001433BC" w:rsidRPr="004C3F92">
        <w:t xml:space="preserve">X.L. </w:t>
      </w:r>
      <w:r w:rsidRPr="004C3F92">
        <w:t xml:space="preserve">and Yang, </w:t>
      </w:r>
      <w:r w:rsidR="001433BC" w:rsidRPr="004C3F92">
        <w:t xml:space="preserve">S.K. </w:t>
      </w:r>
      <w:r w:rsidRPr="004C3F92">
        <w:rPr>
          <w:i/>
        </w:rPr>
        <w:t>J. Chromatogr.</w:t>
      </w:r>
      <w:r w:rsidRPr="004C3F92">
        <w:t xml:space="preserve">, </w:t>
      </w:r>
      <w:r w:rsidR="001433BC" w:rsidRPr="001433BC">
        <w:rPr>
          <w:b/>
          <w:bCs/>
        </w:rPr>
        <w:t>1990</w:t>
      </w:r>
      <w:r w:rsidR="001433BC">
        <w:t>, 535,</w:t>
      </w:r>
      <w:r w:rsidRPr="004C3F92">
        <w:t xml:space="preserve"> 229.</w:t>
      </w:r>
    </w:p>
    <w:p w:rsidR="000E37D4" w:rsidRPr="004C3F92" w:rsidRDefault="000E37D4" w:rsidP="002461DA">
      <w:pPr>
        <w:spacing w:line="480" w:lineRule="auto"/>
        <w:ind w:left="426" w:hanging="426"/>
      </w:pPr>
      <w:r w:rsidRPr="004C3F92">
        <w:t xml:space="preserve">[6] Lu </w:t>
      </w:r>
      <w:r w:rsidR="002461DA" w:rsidRPr="004C3F92">
        <w:t xml:space="preserve">X.L. </w:t>
      </w:r>
      <w:r w:rsidRPr="004C3F92">
        <w:t xml:space="preserve">and Yang, </w:t>
      </w:r>
      <w:r w:rsidR="002461DA" w:rsidRPr="004C3F92">
        <w:t xml:space="preserve">S.K. </w:t>
      </w:r>
      <w:r w:rsidRPr="004C3F92">
        <w:rPr>
          <w:i/>
        </w:rPr>
        <w:t>J. Chromatogr. A</w:t>
      </w:r>
      <w:r w:rsidRPr="004C3F92">
        <w:t xml:space="preserve">, </w:t>
      </w:r>
      <w:r w:rsidR="002461DA" w:rsidRPr="002461DA">
        <w:rPr>
          <w:b/>
          <w:bCs/>
        </w:rPr>
        <w:t>1994</w:t>
      </w:r>
      <w:r w:rsidR="002461DA">
        <w:t>, 666,</w:t>
      </w:r>
      <w:r w:rsidRPr="004C3F92">
        <w:t xml:space="preserve"> 249-257.</w:t>
      </w:r>
    </w:p>
    <w:p w:rsidR="000E37D4" w:rsidRPr="004C3F92" w:rsidRDefault="000E37D4" w:rsidP="002461DA">
      <w:pPr>
        <w:spacing w:line="480" w:lineRule="auto"/>
        <w:ind w:left="426" w:hanging="426"/>
      </w:pPr>
      <w:r w:rsidRPr="004C3F92">
        <w:t xml:space="preserve">[7] Lui </w:t>
      </w:r>
      <w:r w:rsidR="002461DA" w:rsidRPr="004C3F92">
        <w:t xml:space="preserve">J. </w:t>
      </w:r>
      <w:r w:rsidRPr="004C3F92">
        <w:t>and Stewart</w:t>
      </w:r>
      <w:r w:rsidR="002461DA">
        <w:t>,</w:t>
      </w:r>
      <w:r w:rsidR="002461DA" w:rsidRPr="002461DA">
        <w:t xml:space="preserve"> </w:t>
      </w:r>
      <w:r w:rsidR="002461DA" w:rsidRPr="004C3F92">
        <w:t>J.T.</w:t>
      </w:r>
      <w:r w:rsidRPr="004C3F92">
        <w:t xml:space="preserve"> </w:t>
      </w:r>
      <w:r w:rsidRPr="004C3F92">
        <w:rPr>
          <w:i/>
        </w:rPr>
        <w:t>Anal. Lett.</w:t>
      </w:r>
      <w:r w:rsidRPr="004C3F92">
        <w:t xml:space="preserve">, </w:t>
      </w:r>
      <w:r w:rsidR="002461DA" w:rsidRPr="002461DA">
        <w:rPr>
          <w:b/>
          <w:bCs/>
        </w:rPr>
        <w:t>1997</w:t>
      </w:r>
      <w:r w:rsidR="002461DA">
        <w:t xml:space="preserve">, </w:t>
      </w:r>
      <w:r w:rsidRPr="004C3F92">
        <w:t>30</w:t>
      </w:r>
      <w:r w:rsidR="002461DA">
        <w:t xml:space="preserve">, </w:t>
      </w:r>
      <w:r w:rsidRPr="004C3F92">
        <w:t>1555-1566.</w:t>
      </w:r>
    </w:p>
    <w:p w:rsidR="000E37D4" w:rsidRPr="004C3F92" w:rsidRDefault="000E37D4" w:rsidP="002461DA">
      <w:pPr>
        <w:spacing w:line="480" w:lineRule="auto"/>
        <w:ind w:left="426" w:hanging="426"/>
      </w:pPr>
      <w:r w:rsidRPr="004C3F92">
        <w:t xml:space="preserve">[8] Cabrera, </w:t>
      </w:r>
      <w:r w:rsidR="002461DA" w:rsidRPr="004C3F92">
        <w:t xml:space="preserve">K. </w:t>
      </w:r>
      <w:r w:rsidRPr="004C3F92">
        <w:t xml:space="preserve">and Ludba, </w:t>
      </w:r>
      <w:r w:rsidR="002461DA" w:rsidRPr="004C3F92">
        <w:t xml:space="preserve">D. </w:t>
      </w:r>
      <w:r w:rsidRPr="004C3F92">
        <w:rPr>
          <w:i/>
        </w:rPr>
        <w:t>J. Chromatogr. A</w:t>
      </w:r>
      <w:r w:rsidRPr="004C3F92">
        <w:t xml:space="preserve">, </w:t>
      </w:r>
      <w:r w:rsidR="002461DA" w:rsidRPr="004C3F92">
        <w:t>1994</w:t>
      </w:r>
      <w:r w:rsidR="002461DA">
        <w:t>, 666,</w:t>
      </w:r>
      <w:r w:rsidRPr="004C3F92">
        <w:t xml:space="preserve"> 433-438.</w:t>
      </w:r>
    </w:p>
    <w:p w:rsidR="000E37D4" w:rsidRPr="004C3F92" w:rsidRDefault="000E37D4" w:rsidP="002461DA">
      <w:pPr>
        <w:spacing w:line="480" w:lineRule="auto"/>
        <w:ind w:left="426" w:hanging="426"/>
      </w:pPr>
      <w:r w:rsidRPr="004C3F92">
        <w:t xml:space="preserve">[9] Fitos, </w:t>
      </w:r>
      <w:r w:rsidR="002461DA" w:rsidRPr="004C3F92">
        <w:t>I.</w:t>
      </w:r>
      <w:r w:rsidR="002461DA">
        <w:t>,</w:t>
      </w:r>
      <w:r w:rsidR="002461DA" w:rsidRPr="004C3F92">
        <w:t xml:space="preserve"> </w:t>
      </w:r>
      <w:r w:rsidRPr="004C3F92">
        <w:t xml:space="preserve">Visy, </w:t>
      </w:r>
      <w:r w:rsidR="002461DA" w:rsidRPr="004C3F92">
        <w:t>J.</w:t>
      </w:r>
      <w:r w:rsidR="002461DA">
        <w:t>,</w:t>
      </w:r>
      <w:r w:rsidR="002461DA" w:rsidRPr="004C3F92">
        <w:t xml:space="preserve"> </w:t>
      </w:r>
      <w:r w:rsidRPr="004C3F92">
        <w:t xml:space="preserve">Simonyi, </w:t>
      </w:r>
      <w:r w:rsidR="002461DA" w:rsidRPr="004C3F92">
        <w:t xml:space="preserve">M. </w:t>
      </w:r>
      <w:r w:rsidRPr="004C3F92">
        <w:t xml:space="preserve">and Hermansson, </w:t>
      </w:r>
      <w:r w:rsidR="002461DA" w:rsidRPr="004C3F92">
        <w:t xml:space="preserve">J. </w:t>
      </w:r>
      <w:r w:rsidRPr="002461DA">
        <w:rPr>
          <w:i/>
          <w:iCs/>
        </w:rPr>
        <w:t>J. Chromatogr. A</w:t>
      </w:r>
      <w:r w:rsidRPr="004C3F92">
        <w:t xml:space="preserve">, </w:t>
      </w:r>
      <w:r w:rsidR="002461DA" w:rsidRPr="002461DA">
        <w:rPr>
          <w:b/>
          <w:bCs/>
        </w:rPr>
        <w:t>1995</w:t>
      </w:r>
      <w:r w:rsidR="002461DA">
        <w:t>, 709,</w:t>
      </w:r>
      <w:r w:rsidRPr="004C3F92">
        <w:t xml:space="preserve"> 265-273.</w:t>
      </w:r>
    </w:p>
    <w:p w:rsidR="000E37D4" w:rsidRPr="004C3F92" w:rsidRDefault="000E37D4" w:rsidP="002461DA">
      <w:pPr>
        <w:spacing w:line="480" w:lineRule="auto"/>
        <w:ind w:left="426" w:hanging="426"/>
      </w:pPr>
      <w:r w:rsidRPr="004C3F92">
        <w:t xml:space="preserve">[10] Masafumi, </w:t>
      </w:r>
      <w:r w:rsidR="002461DA" w:rsidRPr="004C3F92">
        <w:t>T.</w:t>
      </w:r>
      <w:r w:rsidR="002461DA">
        <w:t xml:space="preserve"> and</w:t>
      </w:r>
      <w:r w:rsidR="002461DA" w:rsidRPr="004C3F92">
        <w:t xml:space="preserve"> </w:t>
      </w:r>
      <w:r w:rsidRPr="004C3F92">
        <w:t xml:space="preserve">Okuyama, </w:t>
      </w:r>
      <w:r w:rsidR="002461DA" w:rsidRPr="004C3F92">
        <w:t xml:space="preserve">T. </w:t>
      </w:r>
      <w:r w:rsidRPr="004C3F92">
        <w:rPr>
          <w:i/>
        </w:rPr>
        <w:t>J Chromatogr. B</w:t>
      </w:r>
      <w:r w:rsidRPr="004C3F92">
        <w:t xml:space="preserve">, </w:t>
      </w:r>
      <w:r w:rsidR="002461DA" w:rsidRPr="002461DA">
        <w:rPr>
          <w:b/>
          <w:bCs/>
        </w:rPr>
        <w:t>1996</w:t>
      </w:r>
      <w:r w:rsidR="002461DA">
        <w:t>, 678,</w:t>
      </w:r>
      <w:r w:rsidRPr="004C3F92">
        <w:t xml:space="preserve"> 331-337.</w:t>
      </w:r>
    </w:p>
    <w:p w:rsidR="000E37D4" w:rsidRPr="004C3F92" w:rsidRDefault="000E37D4" w:rsidP="002461DA">
      <w:pPr>
        <w:spacing w:line="480" w:lineRule="auto"/>
        <w:ind w:left="426" w:hanging="426"/>
      </w:pPr>
      <w:r w:rsidRPr="004C3F92">
        <w:t xml:space="preserve">[11] Boonkerd, </w:t>
      </w:r>
      <w:r w:rsidR="002461DA" w:rsidRPr="004C3F92">
        <w:t>S.</w:t>
      </w:r>
      <w:r w:rsidR="002461DA">
        <w:t>,</w:t>
      </w:r>
      <w:r w:rsidR="002461DA" w:rsidRPr="004C3F92">
        <w:t xml:space="preserve"> </w:t>
      </w:r>
      <w:r w:rsidRPr="004C3F92">
        <w:t xml:space="preserve">Detaevernier, </w:t>
      </w:r>
      <w:r w:rsidR="002461DA" w:rsidRPr="004C3F92">
        <w:t>M.R.</w:t>
      </w:r>
      <w:r w:rsidR="002461DA">
        <w:t>,</w:t>
      </w:r>
      <w:r w:rsidR="002461DA" w:rsidRPr="004C3F92">
        <w:t xml:space="preserve"> </w:t>
      </w:r>
      <w:r w:rsidRPr="004C3F92">
        <w:t xml:space="preserve">Michotte, </w:t>
      </w:r>
      <w:r w:rsidR="002461DA" w:rsidRPr="004C3F92">
        <w:t xml:space="preserve">Y. </w:t>
      </w:r>
      <w:r w:rsidRPr="004C3F92">
        <w:t xml:space="preserve">and Vindevogel, </w:t>
      </w:r>
      <w:r w:rsidR="002461DA" w:rsidRPr="004C3F92">
        <w:t xml:space="preserve">J. </w:t>
      </w:r>
      <w:r w:rsidRPr="004C3F92">
        <w:rPr>
          <w:i/>
        </w:rPr>
        <w:t>J. Chromatogr. A</w:t>
      </w:r>
      <w:r w:rsidRPr="004C3F92">
        <w:t xml:space="preserve">, </w:t>
      </w:r>
      <w:r w:rsidR="002461DA" w:rsidRPr="002461DA">
        <w:rPr>
          <w:b/>
          <w:bCs/>
        </w:rPr>
        <w:t>1995</w:t>
      </w:r>
      <w:r w:rsidR="002461DA">
        <w:t xml:space="preserve">, </w:t>
      </w:r>
      <w:r w:rsidRPr="004C3F92">
        <w:t>704, 238-241.</w:t>
      </w:r>
    </w:p>
    <w:p w:rsidR="000E37D4" w:rsidRPr="004C3F92" w:rsidRDefault="000E37D4" w:rsidP="002461DA">
      <w:pPr>
        <w:spacing w:line="480" w:lineRule="auto"/>
        <w:ind w:left="426" w:hanging="426"/>
      </w:pPr>
      <w:r w:rsidRPr="004C3F92">
        <w:t xml:space="preserve">[12] Bechet, </w:t>
      </w:r>
      <w:r w:rsidR="002461DA" w:rsidRPr="004C3F92">
        <w:t>I.</w:t>
      </w:r>
      <w:r w:rsidR="002461DA">
        <w:t>,</w:t>
      </w:r>
      <w:r w:rsidR="002461DA" w:rsidRPr="004C3F92">
        <w:t xml:space="preserve"> </w:t>
      </w:r>
      <w:r w:rsidRPr="004C3F92">
        <w:t xml:space="preserve">Fillet, </w:t>
      </w:r>
      <w:r w:rsidR="002461DA" w:rsidRPr="004C3F92">
        <w:t>M.</w:t>
      </w:r>
      <w:r w:rsidR="002461DA">
        <w:t xml:space="preserve">, </w:t>
      </w:r>
      <w:r w:rsidRPr="004C3F92">
        <w:t xml:space="preserve">Hubert, </w:t>
      </w:r>
      <w:r w:rsidR="002461DA" w:rsidRPr="004C3F92">
        <w:t xml:space="preserve">P. </w:t>
      </w:r>
      <w:r w:rsidRPr="004C3F92">
        <w:t xml:space="preserve">and Crommen, </w:t>
      </w:r>
      <w:r w:rsidR="002461DA" w:rsidRPr="004C3F92">
        <w:t>J.</w:t>
      </w:r>
      <w:r w:rsidR="002461DA">
        <w:t>,</w:t>
      </w:r>
      <w:r w:rsidR="002461DA" w:rsidRPr="004C3F92">
        <w:t xml:space="preserve"> </w:t>
      </w:r>
      <w:r w:rsidRPr="004C3F92">
        <w:rPr>
          <w:i/>
        </w:rPr>
        <w:t>Electrophoresis</w:t>
      </w:r>
      <w:r w:rsidRPr="004C3F92">
        <w:t xml:space="preserve">, </w:t>
      </w:r>
      <w:r w:rsidR="002461DA" w:rsidRPr="002461DA">
        <w:rPr>
          <w:b/>
          <w:bCs/>
        </w:rPr>
        <w:t>1994</w:t>
      </w:r>
      <w:r w:rsidR="002461DA">
        <w:t xml:space="preserve">, 15, </w:t>
      </w:r>
      <w:r w:rsidRPr="004C3F92">
        <w:t>1316-1321.</w:t>
      </w:r>
    </w:p>
    <w:p w:rsidR="000E37D4" w:rsidRPr="004C3F92" w:rsidRDefault="000E37D4" w:rsidP="002461DA">
      <w:pPr>
        <w:spacing w:line="480" w:lineRule="auto"/>
        <w:ind w:left="432" w:hanging="432"/>
      </w:pPr>
      <w:r w:rsidRPr="004C3F92">
        <w:t xml:space="preserve">[13] Schafroth, </w:t>
      </w:r>
      <w:r w:rsidR="002461DA" w:rsidRPr="004C3F92">
        <w:t>M.</w:t>
      </w:r>
      <w:r w:rsidR="002461DA">
        <w:t>,</w:t>
      </w:r>
      <w:r w:rsidR="002461DA" w:rsidRPr="004C3F92">
        <w:t xml:space="preserve"> </w:t>
      </w:r>
      <w:r w:rsidRPr="004C3F92">
        <w:t xml:space="preserve">Thormann, </w:t>
      </w:r>
      <w:r w:rsidR="002461DA" w:rsidRPr="004C3F92">
        <w:t xml:space="preserve">W. </w:t>
      </w:r>
      <w:r w:rsidRPr="004C3F92">
        <w:t xml:space="preserve">and Allemann, </w:t>
      </w:r>
      <w:r w:rsidR="002461DA" w:rsidRPr="004C3F92">
        <w:t xml:space="preserve">D. </w:t>
      </w:r>
      <w:r w:rsidRPr="004C3F92">
        <w:rPr>
          <w:i/>
        </w:rPr>
        <w:t>Electrophoresis</w:t>
      </w:r>
      <w:r w:rsidRPr="004C3F92">
        <w:t xml:space="preserve">, </w:t>
      </w:r>
      <w:r w:rsidR="002461DA" w:rsidRPr="002461DA">
        <w:rPr>
          <w:b/>
          <w:bCs/>
        </w:rPr>
        <w:t>1994</w:t>
      </w:r>
      <w:r w:rsidR="002461DA">
        <w:t xml:space="preserve">, 15, </w:t>
      </w:r>
      <w:r w:rsidRPr="004C3F92">
        <w:t>72-78.</w:t>
      </w:r>
    </w:p>
    <w:p w:rsidR="000E37D4" w:rsidRPr="004C3F92" w:rsidRDefault="000E37D4" w:rsidP="002461DA">
      <w:pPr>
        <w:spacing w:line="480" w:lineRule="auto"/>
        <w:ind w:left="432" w:hanging="432"/>
      </w:pPr>
      <w:r w:rsidRPr="004C3F92">
        <w:t xml:space="preserve">[14] Catabay, </w:t>
      </w:r>
      <w:r w:rsidR="002461DA" w:rsidRPr="004C3F92">
        <w:t>A.P.</w:t>
      </w:r>
      <w:r w:rsidR="002461DA">
        <w:t>,</w:t>
      </w:r>
      <w:r w:rsidR="002461DA" w:rsidRPr="004C3F92">
        <w:t xml:space="preserve"> </w:t>
      </w:r>
      <w:r w:rsidRPr="004C3F92">
        <w:t xml:space="preserve">Sawada, </w:t>
      </w:r>
      <w:r w:rsidR="002461DA" w:rsidRPr="004C3F92">
        <w:t>H.</w:t>
      </w:r>
      <w:r w:rsidR="002461DA">
        <w:t>,</w:t>
      </w:r>
      <w:r w:rsidR="002461DA" w:rsidRPr="004C3F92">
        <w:t xml:space="preserve"> </w:t>
      </w:r>
      <w:r w:rsidRPr="004C3F92">
        <w:t xml:space="preserve">Jinno, </w:t>
      </w:r>
      <w:r w:rsidR="002461DA" w:rsidRPr="004C3F92">
        <w:t>K.</w:t>
      </w:r>
      <w:r w:rsidR="002461DA">
        <w:t>,</w:t>
      </w:r>
      <w:r w:rsidR="002461DA" w:rsidRPr="004C3F92">
        <w:t xml:space="preserve"> </w:t>
      </w:r>
      <w:r w:rsidRPr="004C3F92">
        <w:t xml:space="preserve">Pesek, </w:t>
      </w:r>
      <w:r w:rsidR="002461DA" w:rsidRPr="004C3F92">
        <w:t xml:space="preserve">J.J. </w:t>
      </w:r>
      <w:r w:rsidRPr="004C3F92">
        <w:t xml:space="preserve">and Matyska, </w:t>
      </w:r>
      <w:r w:rsidR="002461DA" w:rsidRPr="004C3F92">
        <w:t>M.T.</w:t>
      </w:r>
      <w:r w:rsidR="002461DA">
        <w:t>,</w:t>
      </w:r>
      <w:r w:rsidR="002461DA" w:rsidRPr="004C3F92">
        <w:t xml:space="preserve"> </w:t>
      </w:r>
      <w:r w:rsidRPr="002461DA">
        <w:rPr>
          <w:i/>
          <w:iCs/>
        </w:rPr>
        <w:t>J. Cap. Elec.,</w:t>
      </w:r>
      <w:r w:rsidRPr="004C3F92">
        <w:t xml:space="preserve"> </w:t>
      </w:r>
      <w:r w:rsidR="002461DA" w:rsidRPr="002461DA">
        <w:rPr>
          <w:b/>
          <w:bCs/>
        </w:rPr>
        <w:t>1998</w:t>
      </w:r>
      <w:r w:rsidR="002461DA">
        <w:t xml:space="preserve">, 005:1/2, </w:t>
      </w:r>
      <w:r w:rsidRPr="004C3F92">
        <w:t>89.</w:t>
      </w:r>
    </w:p>
    <w:p w:rsidR="000E37D4" w:rsidRDefault="000E37D4" w:rsidP="00173075">
      <w:pPr>
        <w:spacing w:line="480" w:lineRule="auto"/>
        <w:ind w:left="432" w:hanging="432"/>
        <w:jc w:val="both"/>
      </w:pPr>
      <w:r w:rsidRPr="004C3F92">
        <w:t xml:space="preserve">[15] Loyd, </w:t>
      </w:r>
      <w:r w:rsidR="00173075" w:rsidRPr="004C3F92">
        <w:t>D.K.</w:t>
      </w:r>
      <w:r w:rsidR="00173075">
        <w:t>,</w:t>
      </w:r>
      <w:r w:rsidR="00173075" w:rsidRPr="004C3F92">
        <w:t xml:space="preserve"> </w:t>
      </w:r>
      <w:r w:rsidRPr="004C3F92">
        <w:t xml:space="preserve">Li, </w:t>
      </w:r>
      <w:r w:rsidR="00173075" w:rsidRPr="004C3F92">
        <w:t xml:space="preserve">S. </w:t>
      </w:r>
      <w:r w:rsidRPr="004C3F92">
        <w:t xml:space="preserve">and Ryan, </w:t>
      </w:r>
      <w:r w:rsidR="00173075" w:rsidRPr="004C3F92">
        <w:t>P.</w:t>
      </w:r>
      <w:r w:rsidR="00173075">
        <w:t>,</w:t>
      </w:r>
      <w:r w:rsidR="00173075" w:rsidRPr="004C3F92">
        <w:t xml:space="preserve"> </w:t>
      </w:r>
      <w:r w:rsidRPr="00173075">
        <w:rPr>
          <w:i/>
          <w:iCs/>
        </w:rPr>
        <w:t>J. Chromatogr. A</w:t>
      </w:r>
      <w:r w:rsidRPr="004C3F92">
        <w:t xml:space="preserve">, </w:t>
      </w:r>
      <w:r w:rsidR="00173075" w:rsidRPr="00173075">
        <w:rPr>
          <w:b/>
          <w:bCs/>
        </w:rPr>
        <w:t>1995</w:t>
      </w:r>
      <w:r w:rsidR="00173075">
        <w:t>, 694,</w:t>
      </w:r>
      <w:r w:rsidRPr="004C3F92">
        <w:t xml:space="preserve"> 285.</w:t>
      </w:r>
    </w:p>
    <w:p w:rsidR="003376C9" w:rsidRPr="004C3F92" w:rsidRDefault="003376C9" w:rsidP="00173075">
      <w:pPr>
        <w:spacing w:line="480" w:lineRule="auto"/>
        <w:ind w:left="432" w:hanging="432"/>
        <w:jc w:val="both"/>
      </w:pPr>
      <w:r>
        <w:t xml:space="preserve">[16] </w:t>
      </w:r>
      <w:r w:rsidRPr="003376C9">
        <w:t xml:space="preserve">Schoetz, </w:t>
      </w:r>
      <w:r w:rsidR="00173075" w:rsidRPr="003376C9">
        <w:t>G</w:t>
      </w:r>
      <w:r w:rsidR="00173075">
        <w:t>.,</w:t>
      </w:r>
      <w:r w:rsidR="00173075" w:rsidRPr="003376C9">
        <w:t xml:space="preserve"> </w:t>
      </w:r>
      <w:r w:rsidRPr="003376C9">
        <w:t xml:space="preserve">Trapp, </w:t>
      </w:r>
      <w:r w:rsidR="00173075" w:rsidRPr="003376C9">
        <w:t>O</w:t>
      </w:r>
      <w:r w:rsidR="00173075">
        <w:t xml:space="preserve">. </w:t>
      </w:r>
      <w:r w:rsidRPr="003376C9">
        <w:t>and Schurig</w:t>
      </w:r>
      <w:r>
        <w:t xml:space="preserve">, </w:t>
      </w:r>
      <w:r w:rsidR="00173075" w:rsidRPr="003376C9">
        <w:t>V</w:t>
      </w:r>
      <w:r w:rsidR="00173075">
        <w:t>.</w:t>
      </w:r>
      <w:r w:rsidR="00173075" w:rsidRPr="003376C9">
        <w:t xml:space="preserve"> </w:t>
      </w:r>
      <w:r w:rsidR="00E46F57" w:rsidRPr="00173075">
        <w:rPr>
          <w:i/>
          <w:iCs/>
        </w:rPr>
        <w:t>Anal. Chem</w:t>
      </w:r>
      <w:r w:rsidR="00E46F57" w:rsidRPr="00E46F57">
        <w:t xml:space="preserve">, </w:t>
      </w:r>
      <w:r w:rsidR="00173075" w:rsidRPr="00173075">
        <w:rPr>
          <w:b/>
          <w:bCs/>
        </w:rPr>
        <w:t>2000</w:t>
      </w:r>
      <w:r w:rsidR="00173075">
        <w:t xml:space="preserve">, 72, </w:t>
      </w:r>
      <w:r w:rsidR="00E46F57" w:rsidRPr="00E46F57">
        <w:t>2758-2764</w:t>
      </w:r>
      <w:r w:rsidR="00E46F57">
        <w:t>.</w:t>
      </w:r>
    </w:p>
    <w:p w:rsidR="00E46F57" w:rsidRDefault="00E46F57" w:rsidP="00173075">
      <w:pPr>
        <w:spacing w:line="480" w:lineRule="auto"/>
        <w:ind w:left="432" w:hanging="432"/>
      </w:pPr>
      <w:r>
        <w:t xml:space="preserve">[17] Hou, </w:t>
      </w:r>
      <w:r w:rsidR="00173075">
        <w:t xml:space="preserve">J., </w:t>
      </w:r>
      <w:r>
        <w:t xml:space="preserve">Rizvi, </w:t>
      </w:r>
      <w:r w:rsidR="00173075">
        <w:t xml:space="preserve">S.A.A., </w:t>
      </w:r>
      <w:r>
        <w:t xml:space="preserve">Zheng </w:t>
      </w:r>
      <w:r w:rsidR="00173075">
        <w:t xml:space="preserve">J. </w:t>
      </w:r>
      <w:r>
        <w:t xml:space="preserve">and Shamsi, </w:t>
      </w:r>
      <w:r w:rsidR="00173075">
        <w:t xml:space="preserve">S.A. </w:t>
      </w:r>
      <w:r w:rsidRPr="00173075">
        <w:rPr>
          <w:i/>
          <w:iCs/>
        </w:rPr>
        <w:t>Electrophoresis</w:t>
      </w:r>
      <w:r>
        <w:t>,</w:t>
      </w:r>
      <w:r w:rsidRPr="00E46F57">
        <w:t xml:space="preserve"> </w:t>
      </w:r>
      <w:r w:rsidR="00173075" w:rsidRPr="00173075">
        <w:rPr>
          <w:b/>
          <w:bCs/>
        </w:rPr>
        <w:t>2006</w:t>
      </w:r>
      <w:r w:rsidR="00173075">
        <w:t xml:space="preserve">, </w:t>
      </w:r>
      <w:r w:rsidRPr="00E46F57">
        <w:t>27, 1263–1275</w:t>
      </w:r>
      <w:r>
        <w:t>.</w:t>
      </w:r>
    </w:p>
    <w:p w:rsidR="000E37D4" w:rsidRPr="004C3F92" w:rsidRDefault="000E37D4" w:rsidP="0031198C">
      <w:pPr>
        <w:spacing w:line="480" w:lineRule="auto"/>
        <w:ind w:left="432" w:hanging="432"/>
      </w:pPr>
      <w:r w:rsidRPr="004C3F92">
        <w:t>[1</w:t>
      </w:r>
      <w:r w:rsidR="00657190">
        <w:t>8</w:t>
      </w:r>
      <w:r w:rsidRPr="004C3F92">
        <w:t xml:space="preserve">] Ward, </w:t>
      </w:r>
      <w:r w:rsidR="0031198C" w:rsidRPr="004C3F92">
        <w:t xml:space="preserve">T.J. </w:t>
      </w:r>
      <w:r w:rsidRPr="0031198C">
        <w:rPr>
          <w:i/>
          <w:iCs/>
        </w:rPr>
        <w:t>Anal. Chem.</w:t>
      </w:r>
      <w:r w:rsidRPr="004C3F92">
        <w:t xml:space="preserve">, </w:t>
      </w:r>
      <w:r w:rsidR="0031198C" w:rsidRPr="0031198C">
        <w:rPr>
          <w:b/>
          <w:bCs/>
        </w:rPr>
        <w:t>1994</w:t>
      </w:r>
      <w:r w:rsidR="0031198C">
        <w:t xml:space="preserve">, 66, </w:t>
      </w:r>
      <w:r w:rsidRPr="004C3F92">
        <w:t>632A-640A.</w:t>
      </w:r>
    </w:p>
    <w:p w:rsidR="000E37D4" w:rsidRPr="004C3F92" w:rsidRDefault="000E37D4" w:rsidP="0031198C">
      <w:pPr>
        <w:spacing w:line="480" w:lineRule="auto"/>
        <w:ind w:left="432" w:hanging="432"/>
        <w:jc w:val="both"/>
      </w:pPr>
      <w:r w:rsidRPr="004C3F92">
        <w:t>[1</w:t>
      </w:r>
      <w:r w:rsidR="00657190">
        <w:t>9</w:t>
      </w:r>
      <w:r w:rsidRPr="004C3F92">
        <w:t xml:space="preserve">] Terabe, </w:t>
      </w:r>
      <w:r w:rsidR="0031198C" w:rsidRPr="004C3F92">
        <w:t>S.</w:t>
      </w:r>
      <w:r w:rsidR="0031198C">
        <w:t>,</w:t>
      </w:r>
      <w:r w:rsidR="0031198C" w:rsidRPr="004C3F92">
        <w:t xml:space="preserve"> </w:t>
      </w:r>
      <w:r w:rsidRPr="004C3F92">
        <w:t xml:space="preserve">Otsuka, </w:t>
      </w:r>
      <w:r w:rsidR="0031198C" w:rsidRPr="004C3F92">
        <w:t xml:space="preserve">K. </w:t>
      </w:r>
      <w:r w:rsidRPr="004C3F92">
        <w:t xml:space="preserve">and Nishi, </w:t>
      </w:r>
      <w:r w:rsidR="0031198C" w:rsidRPr="004C3F92">
        <w:t xml:space="preserve">H. </w:t>
      </w:r>
      <w:r w:rsidRPr="0031198C">
        <w:rPr>
          <w:i/>
          <w:iCs/>
        </w:rPr>
        <w:t>J. Chromatogr.</w:t>
      </w:r>
      <w:r w:rsidRPr="004C3F92">
        <w:t xml:space="preserve">, </w:t>
      </w:r>
      <w:r w:rsidR="0031198C" w:rsidRPr="0031198C">
        <w:rPr>
          <w:b/>
          <w:bCs/>
        </w:rPr>
        <w:t>1994</w:t>
      </w:r>
      <w:r w:rsidR="0031198C">
        <w:t xml:space="preserve">, 666, </w:t>
      </w:r>
      <w:r w:rsidRPr="004C3F92">
        <w:t>295-319.</w:t>
      </w:r>
    </w:p>
    <w:p w:rsidR="000E37D4" w:rsidRPr="004C3F92" w:rsidRDefault="000E37D4" w:rsidP="0031198C">
      <w:pPr>
        <w:spacing w:line="480" w:lineRule="auto"/>
        <w:ind w:left="432" w:hanging="432"/>
        <w:jc w:val="both"/>
      </w:pPr>
      <w:r w:rsidRPr="004C3F92">
        <w:lastRenderedPageBreak/>
        <w:t>[</w:t>
      </w:r>
      <w:r w:rsidR="00657190">
        <w:t>20</w:t>
      </w:r>
      <w:r w:rsidRPr="004C3F92">
        <w:t xml:space="preserve">] Nishi, </w:t>
      </w:r>
      <w:r w:rsidR="0031198C" w:rsidRPr="004C3F92">
        <w:t xml:space="preserve">H. </w:t>
      </w:r>
      <w:r w:rsidRPr="004C3F92">
        <w:t xml:space="preserve">and Terabe, </w:t>
      </w:r>
      <w:r w:rsidR="0031198C" w:rsidRPr="004C3F92">
        <w:t xml:space="preserve">S. </w:t>
      </w:r>
      <w:r w:rsidRPr="0031198C">
        <w:rPr>
          <w:i/>
          <w:iCs/>
        </w:rPr>
        <w:t>J. Chromatogr</w:t>
      </w:r>
      <w:r w:rsidRPr="004C3F92">
        <w:t xml:space="preserve">., </w:t>
      </w:r>
      <w:r w:rsidR="0031198C" w:rsidRPr="0031198C">
        <w:rPr>
          <w:b/>
          <w:bCs/>
        </w:rPr>
        <w:t>1995</w:t>
      </w:r>
      <w:r w:rsidR="0031198C">
        <w:t xml:space="preserve">, 694, </w:t>
      </w:r>
      <w:r w:rsidRPr="004C3F92">
        <w:t>245-276.</w:t>
      </w:r>
    </w:p>
    <w:p w:rsidR="000E37D4" w:rsidRPr="004C3F92" w:rsidRDefault="000E37D4" w:rsidP="0031198C">
      <w:pPr>
        <w:spacing w:line="480" w:lineRule="auto"/>
        <w:ind w:left="432" w:hanging="432"/>
        <w:jc w:val="both"/>
      </w:pPr>
      <w:r w:rsidRPr="004C3F92">
        <w:t>[</w:t>
      </w:r>
      <w:r w:rsidR="00657190">
        <w:t>21</w:t>
      </w:r>
      <w:r w:rsidRPr="004C3F92">
        <w:t xml:space="preserve">] Sepaniak, </w:t>
      </w:r>
      <w:r w:rsidR="0031198C" w:rsidRPr="004C3F92">
        <w:t>M.J.</w:t>
      </w:r>
      <w:r w:rsidR="0031198C">
        <w:t xml:space="preserve">, </w:t>
      </w:r>
      <w:r w:rsidRPr="004C3F92">
        <w:t xml:space="preserve">Copper, </w:t>
      </w:r>
      <w:r w:rsidR="0031198C" w:rsidRPr="004C3F92">
        <w:t>C.L.</w:t>
      </w:r>
      <w:r w:rsidR="0031198C">
        <w:t>,</w:t>
      </w:r>
      <w:r w:rsidR="0031198C" w:rsidRPr="004C3F92">
        <w:t xml:space="preserve"> </w:t>
      </w:r>
      <w:r w:rsidRPr="004C3F92">
        <w:t xml:space="preserve">Whitaker, </w:t>
      </w:r>
      <w:r w:rsidR="0031198C" w:rsidRPr="004C3F92">
        <w:t xml:space="preserve">K.W. </w:t>
      </w:r>
      <w:r w:rsidRPr="004C3F92">
        <w:t xml:space="preserve">and Anigbogu, </w:t>
      </w:r>
      <w:r w:rsidR="0031198C" w:rsidRPr="004C3F92">
        <w:t xml:space="preserve">V.C. </w:t>
      </w:r>
      <w:r w:rsidRPr="0031198C">
        <w:rPr>
          <w:i/>
          <w:iCs/>
        </w:rPr>
        <w:t>Anal. Chem</w:t>
      </w:r>
      <w:r w:rsidRPr="004C3F92">
        <w:t xml:space="preserve">., </w:t>
      </w:r>
      <w:r w:rsidR="0031198C" w:rsidRPr="0031198C">
        <w:rPr>
          <w:b/>
          <w:bCs/>
        </w:rPr>
        <w:t>1995</w:t>
      </w:r>
      <w:r w:rsidR="0031198C">
        <w:t xml:space="preserve">, 67, </w:t>
      </w:r>
      <w:r w:rsidRPr="004C3F92">
        <w:t>2037-2041.</w:t>
      </w:r>
    </w:p>
    <w:p w:rsidR="000E37D4" w:rsidRPr="004C3F92" w:rsidRDefault="000E37D4" w:rsidP="0031198C">
      <w:pPr>
        <w:spacing w:line="480" w:lineRule="auto"/>
        <w:ind w:left="432" w:hanging="432"/>
        <w:jc w:val="both"/>
      </w:pPr>
      <w:r w:rsidRPr="004C3F92">
        <w:t>[2</w:t>
      </w:r>
      <w:r w:rsidR="00657190">
        <w:t>2</w:t>
      </w:r>
      <w:r w:rsidRPr="004C3F92">
        <w:t xml:space="preserve">] Nishi, </w:t>
      </w:r>
      <w:r w:rsidR="0031198C" w:rsidRPr="004C3F92">
        <w:t>H.</w:t>
      </w:r>
      <w:r w:rsidR="0031198C">
        <w:t>,</w:t>
      </w:r>
      <w:r w:rsidR="0031198C" w:rsidRPr="004C3F92">
        <w:t xml:space="preserve"> </w:t>
      </w:r>
      <w:r w:rsidRPr="004C3F92">
        <w:t xml:space="preserve">Fukuyama, </w:t>
      </w:r>
      <w:r w:rsidR="0031198C" w:rsidRPr="004C3F92">
        <w:t xml:space="preserve">T. </w:t>
      </w:r>
      <w:r w:rsidRPr="004C3F92">
        <w:t xml:space="preserve">and Terabe, </w:t>
      </w:r>
      <w:r w:rsidR="0031198C" w:rsidRPr="004C3F92">
        <w:t xml:space="preserve">S. </w:t>
      </w:r>
      <w:r w:rsidRPr="0031198C">
        <w:rPr>
          <w:i/>
          <w:iCs/>
        </w:rPr>
        <w:t>J. Chromatogr</w:t>
      </w:r>
      <w:r w:rsidRPr="004C3F92">
        <w:t xml:space="preserve">., </w:t>
      </w:r>
      <w:r w:rsidR="0031198C" w:rsidRPr="0031198C">
        <w:rPr>
          <w:b/>
          <w:bCs/>
        </w:rPr>
        <w:t>1991</w:t>
      </w:r>
      <w:r w:rsidR="0031198C">
        <w:t xml:space="preserve">, 553, </w:t>
      </w:r>
      <w:r w:rsidRPr="004C3F92">
        <w:t>503-516.</w:t>
      </w:r>
    </w:p>
    <w:p w:rsidR="000E37D4" w:rsidRPr="004C3F92" w:rsidRDefault="000E37D4" w:rsidP="0031198C">
      <w:pPr>
        <w:spacing w:line="480" w:lineRule="auto"/>
        <w:ind w:left="432" w:hanging="432"/>
        <w:jc w:val="both"/>
      </w:pPr>
      <w:r w:rsidRPr="004C3F92">
        <w:t>[2</w:t>
      </w:r>
      <w:r w:rsidR="00657190">
        <w:t>3</w:t>
      </w:r>
      <w:r w:rsidRPr="004C3F92">
        <w:t xml:space="preserve">] Tait, </w:t>
      </w:r>
      <w:r w:rsidR="0031198C" w:rsidRPr="004C3F92">
        <w:t>R.J.</w:t>
      </w:r>
      <w:r w:rsidR="0031198C">
        <w:t>,</w:t>
      </w:r>
      <w:r w:rsidR="0031198C" w:rsidRPr="004C3F92">
        <w:t xml:space="preserve"> </w:t>
      </w:r>
      <w:r w:rsidRPr="004C3F92">
        <w:t xml:space="preserve">Thompson, </w:t>
      </w:r>
      <w:r w:rsidR="0031198C" w:rsidRPr="004C3F92">
        <w:t>D.O.</w:t>
      </w:r>
      <w:r w:rsidR="0031198C">
        <w:t>,</w:t>
      </w:r>
      <w:r w:rsidR="0031198C" w:rsidRPr="004C3F92">
        <w:t xml:space="preserve"> </w:t>
      </w:r>
      <w:r w:rsidRPr="004C3F92">
        <w:t>Stella</w:t>
      </w:r>
      <w:r w:rsidR="0031198C">
        <w:t>,</w:t>
      </w:r>
      <w:r w:rsidRPr="004C3F92">
        <w:t xml:space="preserve"> </w:t>
      </w:r>
      <w:r w:rsidR="0031198C" w:rsidRPr="004C3F92">
        <w:t xml:space="preserve">V.J. </w:t>
      </w:r>
      <w:r w:rsidRPr="004C3F92">
        <w:t xml:space="preserve">and Stobaugh, </w:t>
      </w:r>
      <w:r w:rsidR="0031198C" w:rsidRPr="004C3F92">
        <w:t xml:space="preserve">J.F. </w:t>
      </w:r>
      <w:r w:rsidRPr="0031198C">
        <w:rPr>
          <w:i/>
          <w:iCs/>
        </w:rPr>
        <w:t>Anal. Chem</w:t>
      </w:r>
      <w:r w:rsidRPr="004C3F92">
        <w:rPr>
          <w:i/>
        </w:rPr>
        <w:t>.</w:t>
      </w:r>
      <w:r w:rsidRPr="004C3F92">
        <w:t xml:space="preserve">, </w:t>
      </w:r>
      <w:r w:rsidR="0031198C" w:rsidRPr="004C3F92">
        <w:t>1994</w:t>
      </w:r>
      <w:r w:rsidR="0031198C">
        <w:t xml:space="preserve">, 66, </w:t>
      </w:r>
      <w:r w:rsidRPr="004C3F92">
        <w:t>4013-4018.</w:t>
      </w:r>
    </w:p>
    <w:p w:rsidR="000E37D4" w:rsidRPr="004C3F92" w:rsidRDefault="000E37D4" w:rsidP="00100E43">
      <w:pPr>
        <w:spacing w:line="480" w:lineRule="auto"/>
        <w:ind w:left="432" w:hanging="432"/>
        <w:jc w:val="both"/>
      </w:pPr>
      <w:r w:rsidRPr="004C3F92">
        <w:t>[2</w:t>
      </w:r>
      <w:r w:rsidR="00657190">
        <w:t>4</w:t>
      </w:r>
      <w:r w:rsidRPr="004C3F92">
        <w:t xml:space="preserve">] Stalcup, </w:t>
      </w:r>
      <w:r w:rsidR="0031198C" w:rsidRPr="004C3F92">
        <w:t xml:space="preserve">A.M. </w:t>
      </w:r>
      <w:r w:rsidRPr="004C3F92">
        <w:t xml:space="preserve">and Gahm, </w:t>
      </w:r>
      <w:r w:rsidR="0031198C" w:rsidRPr="004C3F92">
        <w:t xml:space="preserve">K.H. </w:t>
      </w:r>
      <w:r w:rsidRPr="00100E43">
        <w:rPr>
          <w:i/>
          <w:iCs/>
        </w:rPr>
        <w:t>Anal. Chem.</w:t>
      </w:r>
      <w:r w:rsidRPr="004C3F92">
        <w:t xml:space="preserve">, </w:t>
      </w:r>
      <w:r w:rsidR="00100E43" w:rsidRPr="00100E43">
        <w:rPr>
          <w:b/>
          <w:bCs/>
        </w:rPr>
        <w:t>1996</w:t>
      </w:r>
      <w:r w:rsidR="00100E43">
        <w:t xml:space="preserve">, 68, </w:t>
      </w:r>
      <w:r w:rsidRPr="004C3F92">
        <w:t>1360-1368.</w:t>
      </w:r>
    </w:p>
    <w:p w:rsidR="000E37D4" w:rsidRPr="004C3F92" w:rsidRDefault="000E37D4" w:rsidP="00D268B8">
      <w:pPr>
        <w:spacing w:line="480" w:lineRule="auto"/>
        <w:ind w:left="432" w:hanging="432"/>
        <w:jc w:val="both"/>
      </w:pPr>
      <w:r w:rsidRPr="004C3F92">
        <w:t>[2</w:t>
      </w:r>
      <w:r w:rsidR="00657190">
        <w:t>5</w:t>
      </w:r>
      <w:r w:rsidRPr="004C3F92">
        <w:t xml:space="preserve">] Vincent, </w:t>
      </w:r>
      <w:r w:rsidR="00D268B8" w:rsidRPr="004C3F92">
        <w:t>J.B.</w:t>
      </w:r>
      <w:r w:rsidR="00D268B8">
        <w:t>,</w:t>
      </w:r>
      <w:r w:rsidR="00D268B8" w:rsidRPr="004C3F92">
        <w:t xml:space="preserve"> </w:t>
      </w:r>
      <w:r w:rsidRPr="004C3F92">
        <w:t xml:space="preserve">Sokolowski, </w:t>
      </w:r>
      <w:r w:rsidR="00D268B8" w:rsidRPr="004C3F92">
        <w:t>A.D.</w:t>
      </w:r>
      <w:r w:rsidR="00D268B8">
        <w:t>,</w:t>
      </w:r>
      <w:r w:rsidR="00D268B8" w:rsidRPr="004C3F92">
        <w:t xml:space="preserve"> </w:t>
      </w:r>
      <w:r w:rsidRPr="004C3F92">
        <w:t xml:space="preserve">Nguyen, </w:t>
      </w:r>
      <w:r w:rsidR="00D268B8" w:rsidRPr="004C3F92">
        <w:t xml:space="preserve">T.V. </w:t>
      </w:r>
      <w:r w:rsidRPr="004C3F92">
        <w:t xml:space="preserve">and Vigh, </w:t>
      </w:r>
      <w:r w:rsidR="00D268B8" w:rsidRPr="004C3F92">
        <w:t xml:space="preserve">G. </w:t>
      </w:r>
      <w:r w:rsidRPr="00D268B8">
        <w:rPr>
          <w:i/>
          <w:iCs/>
        </w:rPr>
        <w:t>Anal. Chem.</w:t>
      </w:r>
      <w:r w:rsidRPr="004C3F92">
        <w:t xml:space="preserve">, </w:t>
      </w:r>
      <w:r w:rsidR="00D268B8" w:rsidRPr="00D268B8">
        <w:rPr>
          <w:b/>
          <w:bCs/>
        </w:rPr>
        <w:t>1997</w:t>
      </w:r>
      <w:r w:rsidR="00D268B8">
        <w:t xml:space="preserve">, 69, </w:t>
      </w:r>
      <w:r w:rsidRPr="004C3F92">
        <w:t>4226-4233.</w:t>
      </w:r>
    </w:p>
    <w:p w:rsidR="000E37D4" w:rsidRPr="004C3F92" w:rsidRDefault="000E37D4" w:rsidP="00D268B8">
      <w:pPr>
        <w:spacing w:line="480" w:lineRule="auto"/>
        <w:ind w:left="432" w:hanging="432"/>
        <w:jc w:val="both"/>
      </w:pPr>
      <w:r w:rsidRPr="004C3F92">
        <w:t>[2</w:t>
      </w:r>
      <w:r w:rsidR="00657190">
        <w:t>6</w:t>
      </w:r>
      <w:r w:rsidRPr="004C3F92">
        <w:t xml:space="preserve">] Vincent, </w:t>
      </w:r>
      <w:r w:rsidR="00D268B8" w:rsidRPr="004C3F92">
        <w:t>J.B.</w:t>
      </w:r>
      <w:r w:rsidR="00D268B8">
        <w:t>,</w:t>
      </w:r>
      <w:r w:rsidR="00D268B8" w:rsidRPr="004C3F92">
        <w:t xml:space="preserve"> </w:t>
      </w:r>
      <w:r w:rsidRPr="004C3F92">
        <w:t xml:space="preserve">Kirby, </w:t>
      </w:r>
      <w:r w:rsidR="00D268B8" w:rsidRPr="004C3F92">
        <w:t>D.M.</w:t>
      </w:r>
      <w:r w:rsidR="00D268B8">
        <w:t>,</w:t>
      </w:r>
      <w:r w:rsidR="00D268B8" w:rsidRPr="004C3F92">
        <w:t xml:space="preserve"> </w:t>
      </w:r>
      <w:r w:rsidRPr="004C3F92">
        <w:t xml:space="preserve">Nguyen, </w:t>
      </w:r>
      <w:r w:rsidR="00D268B8" w:rsidRPr="004C3F92">
        <w:t xml:space="preserve">T.V. </w:t>
      </w:r>
      <w:r w:rsidRPr="004C3F92">
        <w:t xml:space="preserve">and Vigh, </w:t>
      </w:r>
      <w:r w:rsidR="00D268B8" w:rsidRPr="004C3F92">
        <w:t xml:space="preserve">G. </w:t>
      </w:r>
      <w:r w:rsidRPr="00D268B8">
        <w:rPr>
          <w:i/>
          <w:iCs/>
        </w:rPr>
        <w:t>Anal. Chem</w:t>
      </w:r>
      <w:r w:rsidRPr="004C3F92">
        <w:t xml:space="preserve">., </w:t>
      </w:r>
      <w:r w:rsidR="00D268B8" w:rsidRPr="00D268B8">
        <w:rPr>
          <w:b/>
          <w:bCs/>
        </w:rPr>
        <w:t>1997</w:t>
      </w:r>
      <w:r w:rsidR="00D268B8">
        <w:t xml:space="preserve">, 69, </w:t>
      </w:r>
      <w:r w:rsidRPr="004C3F92">
        <w:t>4419-4428.</w:t>
      </w:r>
    </w:p>
    <w:p w:rsidR="000E37D4" w:rsidRPr="004C3F92" w:rsidRDefault="000E37D4" w:rsidP="00D268B8">
      <w:pPr>
        <w:spacing w:line="480" w:lineRule="auto"/>
        <w:ind w:left="432" w:hanging="432"/>
        <w:jc w:val="both"/>
      </w:pPr>
      <w:r w:rsidRPr="004C3F92">
        <w:t>[2</w:t>
      </w:r>
      <w:r w:rsidR="00657190">
        <w:t>7</w:t>
      </w:r>
      <w:r w:rsidRPr="004C3F92">
        <w:t xml:space="preserve">] Cai, </w:t>
      </w:r>
      <w:r w:rsidR="00D268B8" w:rsidRPr="004C3F92">
        <w:t>H.</w:t>
      </w:r>
      <w:r w:rsidR="00D268B8">
        <w:t>,</w:t>
      </w:r>
      <w:r w:rsidR="00D268B8" w:rsidRPr="004C3F92">
        <w:t xml:space="preserve"> </w:t>
      </w:r>
      <w:r w:rsidRPr="004C3F92">
        <w:t xml:space="preserve">Nguyen, </w:t>
      </w:r>
      <w:r w:rsidR="00D268B8" w:rsidRPr="004C3F92">
        <w:t xml:space="preserve">T.V. </w:t>
      </w:r>
      <w:r w:rsidRPr="004C3F92">
        <w:t xml:space="preserve">and Vigh, </w:t>
      </w:r>
      <w:r w:rsidR="00D268B8" w:rsidRPr="004C3F92">
        <w:t xml:space="preserve">G. </w:t>
      </w:r>
      <w:r w:rsidRPr="00D268B8">
        <w:rPr>
          <w:i/>
          <w:iCs/>
        </w:rPr>
        <w:t>Anal. Chem</w:t>
      </w:r>
      <w:r w:rsidRPr="004C3F92">
        <w:t xml:space="preserve">., </w:t>
      </w:r>
      <w:r w:rsidR="00D268B8" w:rsidRPr="00D268B8">
        <w:rPr>
          <w:b/>
          <w:bCs/>
        </w:rPr>
        <w:t>1998</w:t>
      </w:r>
      <w:r w:rsidR="00D268B8">
        <w:t xml:space="preserve">, 70, </w:t>
      </w:r>
      <w:r w:rsidRPr="004C3F92">
        <w:t>580-589.</w:t>
      </w:r>
    </w:p>
    <w:p w:rsidR="000E37D4" w:rsidRPr="004C3F92" w:rsidRDefault="000E37D4" w:rsidP="00D268B8">
      <w:pPr>
        <w:spacing w:line="480" w:lineRule="auto"/>
        <w:ind w:left="432" w:hanging="432"/>
        <w:jc w:val="both"/>
      </w:pPr>
      <w:r w:rsidRPr="004C3F92">
        <w:t>[2</w:t>
      </w:r>
      <w:r w:rsidR="00657190">
        <w:t>8</w:t>
      </w:r>
      <w:r w:rsidRPr="004C3F92">
        <w:t xml:space="preserve">] Wren </w:t>
      </w:r>
      <w:r w:rsidR="00D268B8" w:rsidRPr="004C3F92">
        <w:t xml:space="preserve">S.A.C. </w:t>
      </w:r>
      <w:r w:rsidRPr="004C3F92">
        <w:t xml:space="preserve">and Rowe, </w:t>
      </w:r>
      <w:r w:rsidR="00D268B8">
        <w:t>R.</w:t>
      </w:r>
      <w:r w:rsidR="00D268B8" w:rsidRPr="004C3F92">
        <w:t xml:space="preserve">C. </w:t>
      </w:r>
      <w:r w:rsidRPr="00D268B8">
        <w:rPr>
          <w:i/>
          <w:iCs/>
        </w:rPr>
        <w:t>J. Chromatogr</w:t>
      </w:r>
      <w:r w:rsidRPr="004C3F92">
        <w:t xml:space="preserve">. </w:t>
      </w:r>
      <w:r w:rsidR="00D268B8" w:rsidRPr="00D268B8">
        <w:rPr>
          <w:b/>
          <w:bCs/>
        </w:rPr>
        <w:t>1992</w:t>
      </w:r>
      <w:r w:rsidR="00D268B8">
        <w:t xml:space="preserve">, 603 </w:t>
      </w:r>
      <w:r w:rsidRPr="004C3F92">
        <w:t xml:space="preserve">235. </w:t>
      </w:r>
    </w:p>
    <w:p w:rsidR="000E37D4" w:rsidRPr="004C3F92" w:rsidRDefault="000E37D4" w:rsidP="000040E7">
      <w:pPr>
        <w:spacing w:line="480" w:lineRule="auto"/>
        <w:ind w:left="432" w:hanging="432"/>
      </w:pPr>
      <w:r w:rsidRPr="004C3F92">
        <w:t>[2</w:t>
      </w:r>
      <w:r w:rsidR="00657190">
        <w:t>9</w:t>
      </w:r>
      <w:r w:rsidRPr="004C3F92">
        <w:t xml:space="preserve">] Vargas, </w:t>
      </w:r>
      <w:r w:rsidR="000040E7" w:rsidRPr="004C3F92">
        <w:t>M.G.</w:t>
      </w:r>
      <w:r w:rsidR="000040E7">
        <w:t>,</w:t>
      </w:r>
      <w:r w:rsidR="000040E7" w:rsidRPr="004C3F92">
        <w:t xml:space="preserve"> </w:t>
      </w:r>
      <w:r w:rsidRPr="004C3F92">
        <w:t xml:space="preserve">Vander Heyden, </w:t>
      </w:r>
      <w:r w:rsidR="000040E7" w:rsidRPr="004C3F92">
        <w:t>Y.</w:t>
      </w:r>
      <w:r w:rsidR="000040E7">
        <w:t xml:space="preserve">, </w:t>
      </w:r>
      <w:r w:rsidRPr="004C3F92">
        <w:t xml:space="preserve">Maftouh </w:t>
      </w:r>
      <w:r w:rsidR="000040E7" w:rsidRPr="004C3F92">
        <w:t xml:space="preserve">M. </w:t>
      </w:r>
      <w:r w:rsidRPr="004C3F92">
        <w:t xml:space="preserve">and Massart, </w:t>
      </w:r>
      <w:r w:rsidR="000040E7" w:rsidRPr="004C3F92">
        <w:t xml:space="preserve">D.L. </w:t>
      </w:r>
      <w:r w:rsidR="000040E7" w:rsidRPr="000040E7">
        <w:rPr>
          <w:i/>
          <w:iCs/>
        </w:rPr>
        <w:t>J. Chromatogr. A</w:t>
      </w:r>
      <w:r w:rsidR="000040E7">
        <w:t xml:space="preserve">, </w:t>
      </w:r>
      <w:r w:rsidRPr="000040E7">
        <w:rPr>
          <w:b/>
          <w:bCs/>
        </w:rPr>
        <w:t>1999</w:t>
      </w:r>
      <w:r w:rsidRPr="004C3F92">
        <w:t xml:space="preserve">, </w:t>
      </w:r>
      <w:r w:rsidR="000040E7" w:rsidRPr="000040E7">
        <w:t>855</w:t>
      </w:r>
      <w:r w:rsidR="000040E7">
        <w:t xml:space="preserve">, </w:t>
      </w:r>
      <w:r w:rsidR="000040E7" w:rsidRPr="000040E7">
        <w:t>681 –693</w:t>
      </w:r>
      <w:r w:rsidR="000040E7">
        <w:t>.</w:t>
      </w:r>
    </w:p>
    <w:p w:rsidR="000E37D4" w:rsidRPr="004C3F92" w:rsidRDefault="000E37D4" w:rsidP="00F028B5">
      <w:pPr>
        <w:spacing w:line="480" w:lineRule="auto"/>
        <w:ind w:left="432" w:hanging="432"/>
      </w:pPr>
      <w:r w:rsidRPr="004C3F92">
        <w:t>[</w:t>
      </w:r>
      <w:r w:rsidR="00657190">
        <w:t>30</w:t>
      </w:r>
      <w:r w:rsidRPr="004C3F92">
        <w:t xml:space="preserve">] Giddings, </w:t>
      </w:r>
      <w:r w:rsidR="00F028B5">
        <w:t xml:space="preserve">J.C. </w:t>
      </w:r>
      <w:r w:rsidRPr="00F028B5">
        <w:rPr>
          <w:i/>
          <w:iCs/>
        </w:rPr>
        <w:t>Sep. Purif. Sci.</w:t>
      </w:r>
      <w:r w:rsidRPr="004C3F92">
        <w:t xml:space="preserve">, </w:t>
      </w:r>
      <w:r w:rsidR="00F028B5" w:rsidRPr="00F028B5">
        <w:rPr>
          <w:b/>
          <w:bCs/>
        </w:rPr>
        <w:t>1969</w:t>
      </w:r>
      <w:r w:rsidR="00F028B5">
        <w:t>, 4,</w:t>
      </w:r>
      <w:r w:rsidRPr="004C3F92">
        <w:t xml:space="preserve"> 181</w:t>
      </w:r>
      <w:r w:rsidR="00F028B5">
        <w:t>-189</w:t>
      </w:r>
      <w:r w:rsidRPr="004C3F92">
        <w:t>.</w:t>
      </w:r>
    </w:p>
    <w:p w:rsidR="000E37D4" w:rsidRPr="004C3F92" w:rsidRDefault="000E37D4" w:rsidP="00657190">
      <w:pPr>
        <w:spacing w:line="480" w:lineRule="auto"/>
        <w:ind w:left="432" w:hanging="432"/>
        <w:jc w:val="both"/>
      </w:pPr>
      <w:r w:rsidRPr="004C3F92">
        <w:t>[</w:t>
      </w:r>
      <w:r w:rsidR="00657190">
        <w:t>31</w:t>
      </w:r>
      <w:r w:rsidRPr="004C3F92">
        <w:t>] ACD/Labs Software, Advanced Research in Chemistry, ARC laboratories B.V., Amsterdam, The Netherlands.</w:t>
      </w:r>
    </w:p>
    <w:p w:rsidR="000E37D4" w:rsidRPr="004C3F92" w:rsidRDefault="000E37D4" w:rsidP="00F028B5">
      <w:pPr>
        <w:spacing w:line="480" w:lineRule="auto"/>
        <w:ind w:left="432" w:hanging="432"/>
      </w:pPr>
      <w:r w:rsidRPr="004C3F92">
        <w:t>[3</w:t>
      </w:r>
      <w:r w:rsidR="00657190">
        <w:t>2</w:t>
      </w:r>
      <w:r w:rsidRPr="004C3F92">
        <w:t xml:space="preserve">] Bergholdt </w:t>
      </w:r>
      <w:r w:rsidR="00F028B5" w:rsidRPr="004C3F92">
        <w:t xml:space="preserve">A.B. </w:t>
      </w:r>
      <w:r w:rsidRPr="004C3F92">
        <w:t xml:space="preserve">and Lehmann, </w:t>
      </w:r>
      <w:r w:rsidR="00F028B5" w:rsidRPr="004C3F92">
        <w:t xml:space="preserve">S.V. </w:t>
      </w:r>
      <w:r w:rsidRPr="00F028B5">
        <w:rPr>
          <w:i/>
          <w:iCs/>
        </w:rPr>
        <w:t>Chirality</w:t>
      </w:r>
      <w:r w:rsidRPr="004C3F92">
        <w:t xml:space="preserve">, </w:t>
      </w:r>
      <w:r w:rsidR="00F028B5" w:rsidRPr="00F028B5">
        <w:rPr>
          <w:b/>
          <w:bCs/>
        </w:rPr>
        <w:t>1998</w:t>
      </w:r>
      <w:r w:rsidR="00F028B5">
        <w:t xml:space="preserve">, 10, </w:t>
      </w:r>
      <w:r w:rsidRPr="004C3F92">
        <w:t>699-704.</w:t>
      </w:r>
    </w:p>
    <w:p w:rsidR="000E37D4" w:rsidRPr="004C3F92" w:rsidRDefault="000E37D4" w:rsidP="00F028B5">
      <w:pPr>
        <w:spacing w:line="480" w:lineRule="auto"/>
        <w:ind w:left="432" w:hanging="432"/>
        <w:jc w:val="both"/>
      </w:pPr>
      <w:r w:rsidRPr="004C3F92">
        <w:t>[3</w:t>
      </w:r>
      <w:r w:rsidR="00657190">
        <w:t>3</w:t>
      </w:r>
      <w:r w:rsidRPr="004C3F92">
        <w:t xml:space="preserve">] Wren </w:t>
      </w:r>
      <w:r w:rsidR="00F028B5" w:rsidRPr="004C3F92">
        <w:t xml:space="preserve">S.A.C. </w:t>
      </w:r>
      <w:r w:rsidRPr="004C3F92">
        <w:t xml:space="preserve">and Rowe, </w:t>
      </w:r>
      <w:r w:rsidR="00F028B5" w:rsidRPr="004C3F92">
        <w:t xml:space="preserve">R. C. </w:t>
      </w:r>
      <w:r w:rsidRPr="00F028B5">
        <w:rPr>
          <w:i/>
          <w:iCs/>
        </w:rPr>
        <w:t>J. Chromatogr.</w:t>
      </w:r>
      <w:r w:rsidRPr="004C3F92">
        <w:t xml:space="preserve"> </w:t>
      </w:r>
      <w:r w:rsidR="00F028B5" w:rsidRPr="00F028B5">
        <w:rPr>
          <w:b/>
          <w:bCs/>
        </w:rPr>
        <w:t>1992</w:t>
      </w:r>
      <w:r w:rsidR="00F028B5">
        <w:t xml:space="preserve">, 603, </w:t>
      </w:r>
      <w:r w:rsidRPr="004C3F92">
        <w:t xml:space="preserve">235. </w:t>
      </w:r>
    </w:p>
    <w:p w:rsidR="000E37D4" w:rsidRPr="004C3F92" w:rsidRDefault="000E37D4" w:rsidP="00F028B5">
      <w:pPr>
        <w:spacing w:line="480" w:lineRule="auto"/>
        <w:ind w:left="432" w:hanging="432"/>
        <w:jc w:val="both"/>
      </w:pPr>
      <w:r w:rsidRPr="004C3F92">
        <w:t>[3</w:t>
      </w:r>
      <w:r w:rsidR="00657190">
        <w:t>4</w:t>
      </w:r>
      <w:r w:rsidRPr="004C3F92">
        <w:t xml:space="preserve">] Wren, </w:t>
      </w:r>
      <w:r w:rsidR="00F028B5" w:rsidRPr="004C3F92">
        <w:t xml:space="preserve">S.A.C. </w:t>
      </w:r>
      <w:r w:rsidRPr="00F028B5">
        <w:rPr>
          <w:i/>
          <w:iCs/>
        </w:rPr>
        <w:t>J. Chromatogr.,</w:t>
      </w:r>
      <w:r w:rsidRPr="004C3F92">
        <w:t xml:space="preserve"> </w:t>
      </w:r>
      <w:r w:rsidR="00F028B5" w:rsidRPr="00F028B5">
        <w:rPr>
          <w:b/>
          <w:bCs/>
        </w:rPr>
        <w:t>1993</w:t>
      </w:r>
      <w:r w:rsidR="00F028B5">
        <w:t xml:space="preserve">, 636, </w:t>
      </w:r>
      <w:r w:rsidRPr="004C3F92">
        <w:t>57-62.</w:t>
      </w:r>
    </w:p>
    <w:p w:rsidR="000E37D4" w:rsidRPr="004C3F92" w:rsidRDefault="000E37D4" w:rsidP="00F028B5">
      <w:pPr>
        <w:spacing w:line="480" w:lineRule="auto"/>
        <w:ind w:left="432" w:hanging="432"/>
        <w:jc w:val="both"/>
      </w:pPr>
      <w:r w:rsidRPr="004C3F92">
        <w:t>[3</w:t>
      </w:r>
      <w:r w:rsidR="00657190">
        <w:t>5</w:t>
      </w:r>
      <w:r w:rsidRPr="004C3F92">
        <w:t xml:space="preserve">] Kuhn, </w:t>
      </w:r>
      <w:r w:rsidR="00F028B5" w:rsidRPr="004C3F92">
        <w:t>R.</w:t>
      </w:r>
      <w:r w:rsidR="00F028B5">
        <w:t>,</w:t>
      </w:r>
      <w:r w:rsidR="00F028B5" w:rsidRPr="004C3F92">
        <w:t xml:space="preserve"> </w:t>
      </w:r>
      <w:r w:rsidRPr="004C3F92">
        <w:t xml:space="preserve">Frei, </w:t>
      </w:r>
      <w:r w:rsidR="00F028B5" w:rsidRPr="004C3F92">
        <w:t xml:space="preserve">R. </w:t>
      </w:r>
      <w:r w:rsidRPr="004C3F92">
        <w:t xml:space="preserve">and Christen, </w:t>
      </w:r>
      <w:r w:rsidR="00F028B5" w:rsidRPr="004C3F92">
        <w:t xml:space="preserve">M. </w:t>
      </w:r>
      <w:r w:rsidRPr="00F028B5">
        <w:rPr>
          <w:i/>
          <w:iCs/>
        </w:rPr>
        <w:t>Anal. Biochem.</w:t>
      </w:r>
      <w:r w:rsidRPr="004C3F92">
        <w:t xml:space="preserve">, </w:t>
      </w:r>
      <w:r w:rsidR="00F028B5" w:rsidRPr="00F028B5">
        <w:rPr>
          <w:b/>
          <w:bCs/>
        </w:rPr>
        <w:t>1994</w:t>
      </w:r>
      <w:r w:rsidR="00F028B5">
        <w:t xml:space="preserve">, 218, </w:t>
      </w:r>
      <w:r w:rsidRPr="004C3F92">
        <w:t>131-135</w:t>
      </w:r>
    </w:p>
    <w:p w:rsidR="000E37D4" w:rsidRPr="004C3F92" w:rsidRDefault="000E37D4" w:rsidP="00F028B5">
      <w:pPr>
        <w:spacing w:line="480" w:lineRule="auto"/>
        <w:ind w:left="432" w:hanging="432"/>
        <w:jc w:val="both"/>
      </w:pPr>
      <w:r w:rsidRPr="004C3F92">
        <w:t>[3</w:t>
      </w:r>
      <w:r w:rsidR="00657190">
        <w:t>6</w:t>
      </w:r>
      <w:r w:rsidRPr="004C3F92">
        <w:t xml:space="preserve">] Tanaka, </w:t>
      </w:r>
      <w:r w:rsidR="00F028B5" w:rsidRPr="004C3F92">
        <w:t>Y.</w:t>
      </w:r>
      <w:r w:rsidR="00F028B5">
        <w:t>,</w:t>
      </w:r>
      <w:r w:rsidR="00F028B5" w:rsidRPr="004C3F92">
        <w:t xml:space="preserve"> </w:t>
      </w:r>
      <w:r w:rsidRPr="004C3F92">
        <w:t xml:space="preserve">Terabe, </w:t>
      </w:r>
      <w:r w:rsidR="00F028B5" w:rsidRPr="004C3F92">
        <w:t xml:space="preserve">S. </w:t>
      </w:r>
      <w:r w:rsidRPr="004C3F92">
        <w:t xml:space="preserve">and Yanagawa, </w:t>
      </w:r>
      <w:r w:rsidR="00F028B5" w:rsidRPr="004C3F92">
        <w:t xml:space="preserve">M. </w:t>
      </w:r>
      <w:r w:rsidRPr="00F028B5">
        <w:rPr>
          <w:i/>
          <w:iCs/>
        </w:rPr>
        <w:t>J. High Resolut. Chromatogr.,</w:t>
      </w:r>
      <w:r w:rsidRPr="004C3F92">
        <w:t xml:space="preserve"> </w:t>
      </w:r>
      <w:r w:rsidR="00F028B5" w:rsidRPr="00F028B5">
        <w:rPr>
          <w:b/>
          <w:bCs/>
        </w:rPr>
        <w:t>1996</w:t>
      </w:r>
      <w:r w:rsidR="00F028B5">
        <w:t xml:space="preserve">, 19, </w:t>
      </w:r>
      <w:r w:rsidRPr="004C3F92">
        <w:t>421-33.</w:t>
      </w:r>
    </w:p>
    <w:p w:rsidR="000E37D4" w:rsidRPr="004C3F92" w:rsidRDefault="000E37D4" w:rsidP="00C843C6">
      <w:pPr>
        <w:spacing w:line="480" w:lineRule="auto"/>
        <w:ind w:left="432" w:hanging="432"/>
        <w:jc w:val="both"/>
      </w:pPr>
      <w:r w:rsidRPr="004C3F92">
        <w:t>[3</w:t>
      </w:r>
      <w:r w:rsidR="00657190">
        <w:t>7</w:t>
      </w:r>
      <w:r w:rsidRPr="004C3F92">
        <w:t xml:space="preserve">] Rundlett, </w:t>
      </w:r>
      <w:r w:rsidR="00C843C6" w:rsidRPr="004C3F92">
        <w:t xml:space="preserve">K.L </w:t>
      </w:r>
      <w:r w:rsidRPr="004C3F92">
        <w:t xml:space="preserve">and Armstrong, </w:t>
      </w:r>
      <w:r w:rsidR="00C843C6" w:rsidRPr="004C3F92">
        <w:t xml:space="preserve">D.W. </w:t>
      </w:r>
      <w:r w:rsidRPr="00C843C6">
        <w:rPr>
          <w:i/>
          <w:iCs/>
        </w:rPr>
        <w:t>J. Chromatogr. A</w:t>
      </w:r>
      <w:r w:rsidRPr="004C3F92">
        <w:t xml:space="preserve">, </w:t>
      </w:r>
      <w:r w:rsidR="00C843C6" w:rsidRPr="00C843C6">
        <w:rPr>
          <w:b/>
          <w:bCs/>
        </w:rPr>
        <w:t>1996</w:t>
      </w:r>
      <w:r w:rsidR="00C843C6">
        <w:t xml:space="preserve">, 721, </w:t>
      </w:r>
      <w:r w:rsidRPr="004C3F92">
        <w:t>173-186.</w:t>
      </w:r>
    </w:p>
    <w:p w:rsidR="000E37D4" w:rsidRPr="004C3F92" w:rsidRDefault="000E37D4" w:rsidP="00C843C6">
      <w:pPr>
        <w:spacing w:line="480" w:lineRule="auto"/>
        <w:ind w:left="432" w:hanging="432"/>
        <w:jc w:val="both"/>
      </w:pPr>
      <w:r w:rsidRPr="004C3F92">
        <w:lastRenderedPageBreak/>
        <w:t>[3</w:t>
      </w:r>
      <w:r w:rsidR="00657190">
        <w:t>8</w:t>
      </w:r>
      <w:r w:rsidRPr="004C3F92">
        <w:t xml:space="preserve">] Connors, </w:t>
      </w:r>
      <w:r w:rsidR="00C843C6" w:rsidRPr="004C3F92">
        <w:t xml:space="preserve">K.A. </w:t>
      </w:r>
      <w:r w:rsidRPr="004C3F92">
        <w:t xml:space="preserve">Binding constants – The Measurement of Molecular Complex Stability, John Wiley &amp; Sons, New York, </w:t>
      </w:r>
      <w:r w:rsidRPr="00C843C6">
        <w:rPr>
          <w:b/>
          <w:bCs/>
        </w:rPr>
        <w:t>1987</w:t>
      </w:r>
      <w:r w:rsidRPr="004C3F92">
        <w:t>.</w:t>
      </w:r>
    </w:p>
    <w:p w:rsidR="000E37D4" w:rsidRPr="004C3F92" w:rsidRDefault="000E37D4" w:rsidP="00C843C6">
      <w:pPr>
        <w:spacing w:line="480" w:lineRule="auto"/>
        <w:ind w:left="432" w:hanging="432"/>
        <w:jc w:val="both"/>
      </w:pPr>
      <w:r w:rsidRPr="004C3F92">
        <w:t>[3</w:t>
      </w:r>
      <w:r w:rsidR="00657190">
        <w:t>9</w:t>
      </w:r>
      <w:r w:rsidRPr="004C3F92">
        <w:t xml:space="preserve">] Gratz </w:t>
      </w:r>
      <w:r w:rsidR="00C843C6" w:rsidRPr="004C3F92">
        <w:t xml:space="preserve">S.R. </w:t>
      </w:r>
      <w:r w:rsidRPr="004C3F92">
        <w:t xml:space="preserve">and Stalcup, </w:t>
      </w:r>
      <w:r w:rsidR="00C843C6" w:rsidRPr="004C3F92">
        <w:t xml:space="preserve">A. M. </w:t>
      </w:r>
      <w:r w:rsidRPr="00C843C6">
        <w:rPr>
          <w:i/>
          <w:iCs/>
        </w:rPr>
        <w:t>Anal. Chem.</w:t>
      </w:r>
      <w:r w:rsidRPr="004C3F92">
        <w:t xml:space="preserve">, </w:t>
      </w:r>
      <w:r w:rsidR="00C843C6" w:rsidRPr="00C843C6">
        <w:rPr>
          <w:b/>
          <w:bCs/>
        </w:rPr>
        <w:t>1998</w:t>
      </w:r>
      <w:r w:rsidR="00C843C6">
        <w:t xml:space="preserve">, 70, </w:t>
      </w:r>
      <w:r w:rsidRPr="004C3F92">
        <w:t>5166-5171.</w:t>
      </w:r>
    </w:p>
    <w:p w:rsidR="000E37D4" w:rsidRPr="004C3F92" w:rsidRDefault="000E37D4" w:rsidP="00657190">
      <w:pPr>
        <w:spacing w:line="480" w:lineRule="auto"/>
        <w:ind w:left="432" w:hanging="432"/>
        <w:jc w:val="both"/>
      </w:pPr>
      <w:r w:rsidRPr="004C3F92">
        <w:t>[</w:t>
      </w:r>
      <w:r w:rsidR="00657190">
        <w:t>40</w:t>
      </w:r>
      <w:r w:rsidRPr="004C3F92">
        <w:t>] Cambridge Crystal Structure Database.</w:t>
      </w:r>
    </w:p>
    <w:p w:rsidR="000E37D4" w:rsidRPr="004C3F92" w:rsidRDefault="000E37D4" w:rsidP="00C843C6">
      <w:pPr>
        <w:spacing w:line="480" w:lineRule="auto"/>
        <w:ind w:left="432" w:hanging="432"/>
        <w:jc w:val="both"/>
      </w:pPr>
      <w:r w:rsidRPr="004C3F92">
        <w:t>[</w:t>
      </w:r>
      <w:r w:rsidR="00657190">
        <w:t>41</w:t>
      </w:r>
      <w:r w:rsidRPr="004C3F92">
        <w:t xml:space="preserve">] Allinget, </w:t>
      </w:r>
      <w:r w:rsidR="00C843C6" w:rsidRPr="004C3F92">
        <w:t xml:space="preserve">N.L. </w:t>
      </w:r>
      <w:r w:rsidRPr="00C843C6">
        <w:rPr>
          <w:i/>
          <w:iCs/>
        </w:rPr>
        <w:t>J. Am. Chem. Soc.</w:t>
      </w:r>
      <w:r w:rsidRPr="004C3F92">
        <w:t xml:space="preserve">, </w:t>
      </w:r>
      <w:r w:rsidR="00C843C6" w:rsidRPr="00C843C6">
        <w:rPr>
          <w:b/>
          <w:bCs/>
        </w:rPr>
        <w:t>1977</w:t>
      </w:r>
      <w:r w:rsidR="00C843C6">
        <w:t xml:space="preserve">, 99, </w:t>
      </w:r>
      <w:r w:rsidRPr="004C3F92">
        <w:t>8127.</w:t>
      </w:r>
    </w:p>
    <w:p w:rsidR="000E37D4" w:rsidRPr="004C3F92" w:rsidRDefault="00657190">
      <w:pPr>
        <w:spacing w:line="480" w:lineRule="auto"/>
        <w:ind w:left="432" w:hanging="432"/>
        <w:jc w:val="both"/>
      </w:pPr>
      <w:r>
        <w:t>[42</w:t>
      </w:r>
      <w:r w:rsidR="000E37D4" w:rsidRPr="004C3F92">
        <w:t>] PCModel for Windows, version 1.0, Serena Software.</w:t>
      </w:r>
    </w:p>
    <w:p w:rsidR="000E37D4" w:rsidRPr="004C3F92" w:rsidRDefault="00657190" w:rsidP="00C843C6">
      <w:pPr>
        <w:spacing w:line="480" w:lineRule="auto"/>
        <w:ind w:left="432" w:hanging="432"/>
        <w:jc w:val="both"/>
      </w:pPr>
      <w:r>
        <w:t>[43</w:t>
      </w:r>
      <w:r w:rsidR="000E37D4" w:rsidRPr="004C3F92">
        <w:t xml:space="preserve">] Dewar, </w:t>
      </w:r>
      <w:r w:rsidR="00C843C6" w:rsidRPr="004C3F92">
        <w:t>M.J.S.</w:t>
      </w:r>
      <w:r w:rsidR="00C843C6">
        <w:t>,</w:t>
      </w:r>
      <w:r w:rsidR="00C843C6" w:rsidRPr="004C3F92">
        <w:t xml:space="preserve"> </w:t>
      </w:r>
      <w:r w:rsidR="000E37D4" w:rsidRPr="004C3F92">
        <w:t xml:space="preserve">Zoebish, </w:t>
      </w:r>
      <w:r w:rsidR="00C843C6" w:rsidRPr="004C3F92">
        <w:t>E.G.</w:t>
      </w:r>
      <w:r w:rsidR="00C843C6">
        <w:t xml:space="preserve">, </w:t>
      </w:r>
      <w:r w:rsidR="000E37D4" w:rsidRPr="004C3F92">
        <w:t xml:space="preserve">Healy, </w:t>
      </w:r>
      <w:r w:rsidR="00C843C6" w:rsidRPr="004C3F92">
        <w:t>E.F.</w:t>
      </w:r>
      <w:r w:rsidR="00C843C6">
        <w:t xml:space="preserve"> and</w:t>
      </w:r>
      <w:r w:rsidR="00C843C6" w:rsidRPr="004C3F92">
        <w:t xml:space="preserve"> </w:t>
      </w:r>
      <w:r w:rsidR="000E37D4" w:rsidRPr="004C3F92">
        <w:t xml:space="preserve">Stewart, </w:t>
      </w:r>
      <w:r w:rsidR="00C843C6" w:rsidRPr="004C3F92">
        <w:t xml:space="preserve">J.J.P. </w:t>
      </w:r>
      <w:r w:rsidR="000E37D4" w:rsidRPr="00C843C6">
        <w:rPr>
          <w:i/>
          <w:iCs/>
        </w:rPr>
        <w:t>J. Am. Chem. Soc.</w:t>
      </w:r>
      <w:r w:rsidR="000E37D4" w:rsidRPr="004C3F92">
        <w:t xml:space="preserve">, </w:t>
      </w:r>
      <w:r w:rsidR="00C843C6" w:rsidRPr="00C843C6">
        <w:rPr>
          <w:b/>
          <w:bCs/>
        </w:rPr>
        <w:t>1985</w:t>
      </w:r>
      <w:r w:rsidR="00C843C6">
        <w:t xml:space="preserve">, 107, </w:t>
      </w:r>
      <w:r w:rsidR="000E37D4" w:rsidRPr="004C3F92">
        <w:t>3902.</w:t>
      </w:r>
    </w:p>
    <w:p w:rsidR="000E37D4" w:rsidRPr="004C3F92" w:rsidRDefault="00657190" w:rsidP="00C843C6">
      <w:pPr>
        <w:spacing w:line="480" w:lineRule="auto"/>
        <w:ind w:left="432" w:hanging="432"/>
        <w:jc w:val="both"/>
      </w:pPr>
      <w:r>
        <w:t>[44</w:t>
      </w:r>
      <w:r w:rsidR="000E37D4" w:rsidRPr="004C3F92">
        <w:t xml:space="preserve">] Stewart, </w:t>
      </w:r>
      <w:r w:rsidR="00C843C6" w:rsidRPr="004C3F92">
        <w:t xml:space="preserve">J.J.P. </w:t>
      </w:r>
      <w:r w:rsidR="000E37D4" w:rsidRPr="004C3F92">
        <w:t xml:space="preserve">QCPE Program 455, Chemistry Department, Indiana University, </w:t>
      </w:r>
      <w:r w:rsidR="000E37D4" w:rsidRPr="00C843C6">
        <w:rPr>
          <w:b/>
          <w:bCs/>
        </w:rPr>
        <w:t>1989</w:t>
      </w:r>
      <w:r w:rsidR="000E37D4" w:rsidRPr="004C3F92">
        <w:t xml:space="preserve">. </w:t>
      </w:r>
    </w:p>
    <w:p w:rsidR="000E37D4" w:rsidRDefault="000E37D4">
      <w:pPr>
        <w:spacing w:line="480" w:lineRule="auto"/>
        <w:ind w:left="432" w:hanging="432"/>
        <w:jc w:val="both"/>
      </w:pPr>
    </w:p>
    <w:p w:rsidR="00BE2BED" w:rsidRPr="00BE2BED" w:rsidRDefault="00BE2BED">
      <w:pPr>
        <w:spacing w:line="480" w:lineRule="auto"/>
        <w:ind w:left="432" w:hanging="432"/>
        <w:jc w:val="both"/>
        <w:rPr>
          <w:b/>
          <w:bCs/>
        </w:rPr>
      </w:pPr>
      <w:r w:rsidRPr="00BE2BED">
        <w:rPr>
          <w:b/>
          <w:bCs/>
        </w:rPr>
        <w:t>FIGURE CAPTIONS</w:t>
      </w:r>
    </w:p>
    <w:p w:rsidR="00FB74B4" w:rsidRDefault="00FB74B4" w:rsidP="00FB74B4">
      <w:pPr>
        <w:spacing w:line="480" w:lineRule="atLeast"/>
        <w:ind w:left="720" w:hanging="720"/>
        <w:jc w:val="both"/>
      </w:pPr>
      <w:r>
        <w:rPr>
          <w:b/>
        </w:rPr>
        <w:t>Fig. 1</w:t>
      </w:r>
      <w:r>
        <w:t xml:space="preserve"> General molecular structures of the benzodiazepines.</w:t>
      </w:r>
    </w:p>
    <w:p w:rsidR="00FB74B4" w:rsidRDefault="00FB74B4" w:rsidP="00FB74B4">
      <w:pPr>
        <w:spacing w:line="480" w:lineRule="atLeast"/>
        <w:ind w:left="720" w:hanging="720"/>
        <w:jc w:val="both"/>
      </w:pPr>
      <w:r>
        <w:rPr>
          <w:b/>
        </w:rPr>
        <w:t>Fig. 2</w:t>
      </w:r>
      <w:r>
        <w:t xml:space="preserve"> Absorption spectra of the benzodiazepines in water-methanol (90:10) solution.</w:t>
      </w:r>
    </w:p>
    <w:p w:rsidR="00FB74B4" w:rsidRDefault="00FB74B4" w:rsidP="00FB74B4">
      <w:pPr>
        <w:spacing w:line="480" w:lineRule="atLeast"/>
        <w:ind w:left="720" w:hanging="720"/>
        <w:jc w:val="both"/>
      </w:pPr>
      <w:r>
        <w:rPr>
          <w:b/>
        </w:rPr>
        <w:t>Fig. 3</w:t>
      </w:r>
      <w:r>
        <w:t xml:space="preserve"> Electropherograms of the benzodiazepines measured at low pH. Separation conditions: 25 mM phosphate/triethanolamine buffer, pH 2.5 with the addition of 5% HS</w:t>
      </w:r>
      <w:fldSimple w:instr="SYMBOL 98 \f &quot;Symbol&quot; \s 12"/>
      <w:r>
        <w:t xml:space="preserve">CD, hydrodynamic injection 5 s, 8 psi , -20 kV, 15 </w:t>
      </w:r>
      <w:r w:rsidRPr="00E34566">
        <w:rPr>
          <w:vertAlign w:val="superscript"/>
        </w:rPr>
        <w:t>o</w:t>
      </w:r>
      <w:r>
        <w:t>C.</w:t>
      </w:r>
    </w:p>
    <w:p w:rsidR="00FB74B4" w:rsidRDefault="00FB74B4" w:rsidP="00FB74B4">
      <w:pPr>
        <w:spacing w:line="480" w:lineRule="atLeast"/>
        <w:ind w:left="720" w:hanging="720"/>
        <w:jc w:val="both"/>
      </w:pPr>
      <w:r>
        <w:rPr>
          <w:b/>
        </w:rPr>
        <w:t>Fig. 4</w:t>
      </w:r>
      <w:r>
        <w:t xml:space="preserve"> Calculated main effects from the 3</w:t>
      </w:r>
      <w:r>
        <w:rPr>
          <w:position w:val="6"/>
        </w:rPr>
        <w:t>4-2</w:t>
      </w:r>
      <w:r>
        <w:t xml:space="preserve"> fractional factorial design applied for the screening of the benzodiazepines.</w:t>
      </w:r>
    </w:p>
    <w:p w:rsidR="00FB74B4" w:rsidRDefault="00FB74B4" w:rsidP="00FB74B4">
      <w:pPr>
        <w:spacing w:line="480" w:lineRule="atLeast"/>
        <w:ind w:left="720" w:hanging="720"/>
        <w:jc w:val="both"/>
      </w:pPr>
      <w:r>
        <w:rPr>
          <w:b/>
        </w:rPr>
        <w:t>Fig. 5</w:t>
      </w:r>
      <w:r>
        <w:t xml:space="preserve"> Electropherograms of the enantiomeric separation of the benzodiazepines at the conditions that the highest resolution values were found. Separation conditions: 20 mM borate buffer, pH 9 with the addition of 5% HS</w:t>
      </w:r>
      <w:fldSimple w:instr="SYMBOL 98 \f &quot;Symbol&quot; \s 12"/>
      <w:r>
        <w:t xml:space="preserve">CD and 15% of methanol, hydrodynamic injection 5 sec, 8 psi, 20 kV, 15 </w:t>
      </w:r>
      <w:r w:rsidRPr="006523E2">
        <w:rPr>
          <w:vertAlign w:val="superscript"/>
        </w:rPr>
        <w:t>o</w:t>
      </w:r>
      <w:r>
        <w:t>C.</w:t>
      </w:r>
    </w:p>
    <w:p w:rsidR="00FB74B4" w:rsidRDefault="00FB74B4" w:rsidP="00FB74B4">
      <w:pPr>
        <w:spacing w:line="480" w:lineRule="atLeast"/>
        <w:ind w:left="720" w:hanging="720"/>
        <w:jc w:val="both"/>
      </w:pPr>
      <w:r>
        <w:rPr>
          <w:b/>
        </w:rPr>
        <w:t xml:space="preserve"> Fig. 6 </w:t>
      </w:r>
      <w:r>
        <w:t>Inclusion complex model for the case of benzodiazepines-HS</w:t>
      </w:r>
      <w:fldSimple w:instr="SYMBOL 98 \f &quot;Symbol&quot; \s 12"/>
      <w:r>
        <w:t>CD external complex.</w:t>
      </w:r>
    </w:p>
    <w:p w:rsidR="00BE2BED" w:rsidRDefault="00BE2BED">
      <w:pPr>
        <w:spacing w:line="480" w:lineRule="auto"/>
        <w:ind w:left="432" w:hanging="432"/>
        <w:jc w:val="both"/>
      </w:pPr>
    </w:p>
    <w:p w:rsidR="00FB74B4" w:rsidRDefault="00FB74B4">
      <w:pPr>
        <w:spacing w:line="480" w:lineRule="auto"/>
        <w:ind w:left="432" w:hanging="432"/>
        <w:jc w:val="both"/>
      </w:pPr>
    </w:p>
    <w:p w:rsidR="00B77D50" w:rsidRDefault="00B77D50" w:rsidP="00B77D50"/>
    <w:p w:rsidR="00B77D50" w:rsidRDefault="00B77D50" w:rsidP="00B77D50">
      <w:pPr>
        <w:ind w:left="1800" w:hanging="900"/>
      </w:pPr>
      <w:r>
        <w:t>Table 1. Description of the factors and levels for the 3</w:t>
      </w:r>
      <w:r>
        <w:rPr>
          <w:position w:val="6"/>
          <w:vertAlign w:val="superscript"/>
        </w:rPr>
        <w:t>4-2</w:t>
      </w:r>
      <w:r>
        <w:t xml:space="preserve"> fractional factorial design applied for the screening of the benzodiazepines</w:t>
      </w:r>
      <w:r>
        <w:cr/>
      </w:r>
    </w:p>
    <w:p w:rsidR="00B77D50" w:rsidRDefault="00B77D50" w:rsidP="00B77D50">
      <w:pPr>
        <w:ind w:left="900" w:firstLine="540"/>
        <w:jc w:val="center"/>
      </w:pPr>
    </w:p>
    <w:tbl>
      <w:tblPr>
        <w:tblW w:w="0" w:type="auto"/>
        <w:tblInd w:w="2518" w:type="dxa"/>
        <w:tblLayout w:type="fixed"/>
        <w:tblLook w:val="0000"/>
      </w:tblPr>
      <w:tblGrid>
        <w:gridCol w:w="1305"/>
        <w:gridCol w:w="653"/>
        <w:gridCol w:w="992"/>
        <w:gridCol w:w="995"/>
      </w:tblGrid>
      <w:tr w:rsidR="00B77D50" w:rsidTr="00DE0576">
        <w:tblPrEx>
          <w:tblCellMar>
            <w:top w:w="0" w:type="dxa"/>
            <w:bottom w:w="0" w:type="dxa"/>
          </w:tblCellMar>
        </w:tblPrEx>
        <w:trPr>
          <w:gridBefore w:val="1"/>
          <w:wBefore w:w="1305" w:type="dxa"/>
          <w:cantSplit/>
        </w:trPr>
        <w:tc>
          <w:tcPr>
            <w:tcW w:w="2640" w:type="dxa"/>
            <w:gridSpan w:val="3"/>
            <w:tcBorders>
              <w:top w:val="single" w:sz="6" w:space="0" w:color="auto"/>
              <w:bottom w:val="single" w:sz="6" w:space="0" w:color="auto"/>
            </w:tcBorders>
          </w:tcPr>
          <w:p w:rsidR="00B77D50" w:rsidRDefault="00B77D50" w:rsidP="00DE0576">
            <w:pPr>
              <w:jc w:val="center"/>
              <w:rPr>
                <w:lang w:val="es-ES"/>
              </w:rPr>
            </w:pPr>
            <w:r>
              <w:rPr>
                <w:lang w:val="es-ES"/>
              </w:rPr>
              <w:t>L   E   V   E   L   S</w:t>
            </w:r>
          </w:p>
        </w:tc>
      </w:tr>
      <w:tr w:rsidR="00B77D50" w:rsidTr="00DE0576">
        <w:tblPrEx>
          <w:tblCellMar>
            <w:top w:w="0" w:type="dxa"/>
            <w:bottom w:w="0" w:type="dxa"/>
          </w:tblCellMar>
        </w:tblPrEx>
        <w:trPr>
          <w:cantSplit/>
        </w:trPr>
        <w:tc>
          <w:tcPr>
            <w:tcW w:w="1305" w:type="dxa"/>
            <w:tcBorders>
              <w:top w:val="single" w:sz="6" w:space="0" w:color="auto"/>
              <w:bottom w:val="single" w:sz="6" w:space="0" w:color="auto"/>
            </w:tcBorders>
          </w:tcPr>
          <w:p w:rsidR="00B77D50" w:rsidRDefault="00B77D50" w:rsidP="00DE0576">
            <w:r>
              <w:t>FACTORS</w:t>
            </w:r>
          </w:p>
        </w:tc>
        <w:tc>
          <w:tcPr>
            <w:tcW w:w="653" w:type="dxa"/>
            <w:tcBorders>
              <w:bottom w:val="single" w:sz="6" w:space="0" w:color="auto"/>
            </w:tcBorders>
          </w:tcPr>
          <w:p w:rsidR="00B77D50" w:rsidRDefault="00B77D50" w:rsidP="00DE0576">
            <w:pPr>
              <w:jc w:val="center"/>
            </w:pPr>
            <w:r>
              <w:t>-1</w:t>
            </w:r>
          </w:p>
        </w:tc>
        <w:tc>
          <w:tcPr>
            <w:tcW w:w="992" w:type="dxa"/>
            <w:tcBorders>
              <w:bottom w:val="single" w:sz="6" w:space="0" w:color="auto"/>
            </w:tcBorders>
          </w:tcPr>
          <w:p w:rsidR="00B77D50" w:rsidRDefault="00B77D50" w:rsidP="00DE0576">
            <w:pPr>
              <w:jc w:val="center"/>
            </w:pPr>
            <w:r>
              <w:t>0</w:t>
            </w:r>
          </w:p>
        </w:tc>
        <w:tc>
          <w:tcPr>
            <w:tcW w:w="995" w:type="dxa"/>
            <w:tcBorders>
              <w:bottom w:val="single" w:sz="6" w:space="0" w:color="auto"/>
            </w:tcBorders>
          </w:tcPr>
          <w:p w:rsidR="00B77D50" w:rsidRDefault="00B77D50" w:rsidP="00DE0576">
            <w:pPr>
              <w:jc w:val="center"/>
            </w:pPr>
            <w:r>
              <w:t>1</w:t>
            </w:r>
          </w:p>
        </w:tc>
      </w:tr>
      <w:tr w:rsidR="00B77D50" w:rsidTr="00DE0576">
        <w:tblPrEx>
          <w:tblCellMar>
            <w:top w:w="0" w:type="dxa"/>
            <w:bottom w:w="0" w:type="dxa"/>
          </w:tblCellMar>
        </w:tblPrEx>
        <w:trPr>
          <w:cantSplit/>
        </w:trPr>
        <w:tc>
          <w:tcPr>
            <w:tcW w:w="1305" w:type="dxa"/>
          </w:tcPr>
          <w:p w:rsidR="00B77D50" w:rsidRDefault="00B77D50" w:rsidP="00DE0576">
            <w:r>
              <w:t>CD type</w:t>
            </w:r>
          </w:p>
        </w:tc>
        <w:tc>
          <w:tcPr>
            <w:tcW w:w="653" w:type="dxa"/>
          </w:tcPr>
          <w:p w:rsidR="00B77D50" w:rsidRDefault="00B77D50" w:rsidP="00DE0576">
            <w:pPr>
              <w:jc w:val="center"/>
            </w:pPr>
            <w:r>
              <w:t>HS</w:t>
            </w:r>
          </w:p>
        </w:tc>
        <w:tc>
          <w:tcPr>
            <w:tcW w:w="992" w:type="dxa"/>
          </w:tcPr>
          <w:p w:rsidR="00B77D50" w:rsidRDefault="00B77D50" w:rsidP="00DE0576">
            <w:pPr>
              <w:jc w:val="center"/>
            </w:pPr>
            <w:r>
              <w:t>HDMS</w:t>
            </w:r>
          </w:p>
        </w:tc>
        <w:tc>
          <w:tcPr>
            <w:tcW w:w="995" w:type="dxa"/>
          </w:tcPr>
          <w:p w:rsidR="00B77D50" w:rsidRDefault="00B77D50" w:rsidP="00DE0576">
            <w:pPr>
              <w:jc w:val="center"/>
            </w:pPr>
            <w:r>
              <w:t>HDAS</w:t>
            </w:r>
          </w:p>
        </w:tc>
      </w:tr>
      <w:tr w:rsidR="00B77D50" w:rsidTr="00DE0576">
        <w:tblPrEx>
          <w:tblCellMar>
            <w:top w:w="0" w:type="dxa"/>
            <w:bottom w:w="0" w:type="dxa"/>
          </w:tblCellMar>
        </w:tblPrEx>
        <w:trPr>
          <w:cantSplit/>
        </w:trPr>
        <w:tc>
          <w:tcPr>
            <w:tcW w:w="1305" w:type="dxa"/>
          </w:tcPr>
          <w:p w:rsidR="00B77D50" w:rsidRDefault="00B77D50" w:rsidP="00DE0576">
            <w:r>
              <w:t>% CD</w:t>
            </w:r>
          </w:p>
        </w:tc>
        <w:tc>
          <w:tcPr>
            <w:tcW w:w="653" w:type="dxa"/>
          </w:tcPr>
          <w:p w:rsidR="00B77D50" w:rsidRDefault="00B77D50" w:rsidP="00DE0576">
            <w:pPr>
              <w:jc w:val="center"/>
            </w:pPr>
            <w:r>
              <w:t>0.5</w:t>
            </w:r>
          </w:p>
        </w:tc>
        <w:tc>
          <w:tcPr>
            <w:tcW w:w="992" w:type="dxa"/>
          </w:tcPr>
          <w:p w:rsidR="00B77D50" w:rsidRDefault="00B77D50" w:rsidP="00DE0576">
            <w:pPr>
              <w:jc w:val="center"/>
            </w:pPr>
            <w:r>
              <w:t>2.75</w:t>
            </w:r>
          </w:p>
        </w:tc>
        <w:tc>
          <w:tcPr>
            <w:tcW w:w="995" w:type="dxa"/>
          </w:tcPr>
          <w:p w:rsidR="00B77D50" w:rsidRDefault="00B77D50" w:rsidP="00DE0576">
            <w:pPr>
              <w:jc w:val="center"/>
            </w:pPr>
            <w:r>
              <w:t>5.0</w:t>
            </w:r>
          </w:p>
        </w:tc>
      </w:tr>
      <w:tr w:rsidR="00B77D50" w:rsidTr="00DE0576">
        <w:tblPrEx>
          <w:tblCellMar>
            <w:top w:w="0" w:type="dxa"/>
            <w:bottom w:w="0" w:type="dxa"/>
          </w:tblCellMar>
        </w:tblPrEx>
        <w:trPr>
          <w:cantSplit/>
        </w:trPr>
        <w:tc>
          <w:tcPr>
            <w:tcW w:w="1305" w:type="dxa"/>
          </w:tcPr>
          <w:p w:rsidR="00B77D50" w:rsidRDefault="00B77D50" w:rsidP="00DE0576">
            <w:r>
              <w:t>pH</w:t>
            </w:r>
          </w:p>
        </w:tc>
        <w:tc>
          <w:tcPr>
            <w:tcW w:w="653" w:type="dxa"/>
          </w:tcPr>
          <w:p w:rsidR="00B77D50" w:rsidRDefault="00B77D50" w:rsidP="00DE0576">
            <w:pPr>
              <w:jc w:val="center"/>
            </w:pPr>
            <w:r>
              <w:t>8.0</w:t>
            </w:r>
          </w:p>
        </w:tc>
        <w:tc>
          <w:tcPr>
            <w:tcW w:w="992" w:type="dxa"/>
          </w:tcPr>
          <w:p w:rsidR="00B77D50" w:rsidRDefault="00B77D50" w:rsidP="00DE0576">
            <w:pPr>
              <w:jc w:val="center"/>
            </w:pPr>
            <w:r>
              <w:t>9.0</w:t>
            </w:r>
          </w:p>
        </w:tc>
        <w:tc>
          <w:tcPr>
            <w:tcW w:w="995" w:type="dxa"/>
          </w:tcPr>
          <w:p w:rsidR="00B77D50" w:rsidRDefault="00B77D50" w:rsidP="00DE0576">
            <w:pPr>
              <w:jc w:val="center"/>
            </w:pPr>
            <w:r>
              <w:t>10.0</w:t>
            </w:r>
          </w:p>
        </w:tc>
      </w:tr>
      <w:tr w:rsidR="00B77D50" w:rsidTr="00DE0576">
        <w:tblPrEx>
          <w:tblCellMar>
            <w:top w:w="0" w:type="dxa"/>
            <w:bottom w:w="0" w:type="dxa"/>
          </w:tblCellMar>
        </w:tblPrEx>
        <w:trPr>
          <w:cantSplit/>
        </w:trPr>
        <w:tc>
          <w:tcPr>
            <w:tcW w:w="1305" w:type="dxa"/>
            <w:tcBorders>
              <w:bottom w:val="single" w:sz="6" w:space="0" w:color="auto"/>
            </w:tcBorders>
          </w:tcPr>
          <w:p w:rsidR="00B77D50" w:rsidRDefault="00B77D50" w:rsidP="00DE0576">
            <w:r>
              <w:t>% MeOH</w:t>
            </w:r>
          </w:p>
        </w:tc>
        <w:tc>
          <w:tcPr>
            <w:tcW w:w="653" w:type="dxa"/>
            <w:tcBorders>
              <w:bottom w:val="single" w:sz="6" w:space="0" w:color="auto"/>
            </w:tcBorders>
          </w:tcPr>
          <w:p w:rsidR="00B77D50" w:rsidRDefault="00B77D50" w:rsidP="00DE0576">
            <w:pPr>
              <w:jc w:val="center"/>
            </w:pPr>
            <w:r>
              <w:t>0</w:t>
            </w:r>
          </w:p>
        </w:tc>
        <w:tc>
          <w:tcPr>
            <w:tcW w:w="992" w:type="dxa"/>
            <w:tcBorders>
              <w:bottom w:val="single" w:sz="6" w:space="0" w:color="auto"/>
            </w:tcBorders>
          </w:tcPr>
          <w:p w:rsidR="00B77D50" w:rsidRDefault="00B77D50" w:rsidP="00DE0576">
            <w:pPr>
              <w:jc w:val="center"/>
            </w:pPr>
            <w:r>
              <w:t>15</w:t>
            </w:r>
          </w:p>
        </w:tc>
        <w:tc>
          <w:tcPr>
            <w:tcW w:w="995" w:type="dxa"/>
            <w:tcBorders>
              <w:bottom w:val="single" w:sz="6" w:space="0" w:color="auto"/>
            </w:tcBorders>
          </w:tcPr>
          <w:p w:rsidR="00B77D50" w:rsidRDefault="00B77D50" w:rsidP="00DE0576">
            <w:pPr>
              <w:jc w:val="center"/>
            </w:pPr>
            <w:r>
              <w:t>30</w:t>
            </w:r>
          </w:p>
        </w:tc>
      </w:tr>
    </w:tbl>
    <w:p w:rsidR="00B77D50" w:rsidRDefault="00B77D50" w:rsidP="00B77D50"/>
    <w:p w:rsidR="00B77D50" w:rsidRDefault="00B77D50" w:rsidP="00B77D50"/>
    <w:p w:rsidR="00B77D50" w:rsidRDefault="00B77D50" w:rsidP="00B77D50">
      <w:pPr>
        <w:ind w:left="1890" w:hanging="900"/>
      </w:pPr>
      <w:r>
        <w:t>Table 2. The 3</w:t>
      </w:r>
      <w:r>
        <w:rPr>
          <w:position w:val="6"/>
          <w:vertAlign w:val="superscript"/>
        </w:rPr>
        <w:t>4-2</w:t>
      </w:r>
      <w:r>
        <w:t xml:space="preserve"> fractional factorial design and the response (resolution) for the benzodiazepines</w:t>
      </w:r>
      <w:r>
        <w:cr/>
      </w:r>
    </w:p>
    <w:p w:rsidR="00B77D50" w:rsidRDefault="00B77D50" w:rsidP="00B77D50">
      <w:pPr>
        <w:jc w:val="center"/>
      </w:pPr>
    </w:p>
    <w:tbl>
      <w:tblPr>
        <w:tblW w:w="0" w:type="auto"/>
        <w:tblInd w:w="1368" w:type="dxa"/>
        <w:tblLayout w:type="fixed"/>
        <w:tblLook w:val="0000"/>
      </w:tblPr>
      <w:tblGrid>
        <w:gridCol w:w="817"/>
        <w:gridCol w:w="803"/>
        <w:gridCol w:w="709"/>
        <w:gridCol w:w="1089"/>
        <w:gridCol w:w="709"/>
        <w:gridCol w:w="724"/>
        <w:gridCol w:w="851"/>
        <w:gridCol w:w="976"/>
      </w:tblGrid>
      <w:tr w:rsidR="00B77D50" w:rsidTr="00DE0576">
        <w:tblPrEx>
          <w:tblCellMar>
            <w:top w:w="0" w:type="dxa"/>
            <w:bottom w:w="0" w:type="dxa"/>
          </w:tblCellMar>
        </w:tblPrEx>
        <w:trPr>
          <w:cantSplit/>
        </w:trPr>
        <w:tc>
          <w:tcPr>
            <w:tcW w:w="3418" w:type="dxa"/>
            <w:gridSpan w:val="4"/>
            <w:tcBorders>
              <w:top w:val="single" w:sz="6" w:space="0" w:color="auto"/>
              <w:bottom w:val="single" w:sz="6" w:space="0" w:color="auto"/>
              <w:right w:val="single" w:sz="6" w:space="0" w:color="auto"/>
            </w:tcBorders>
          </w:tcPr>
          <w:p w:rsidR="00B77D50" w:rsidRDefault="00B77D50" w:rsidP="00DE0576">
            <w:r>
              <w:t xml:space="preserve">     F    A    C    T    O    R    S</w:t>
            </w:r>
          </w:p>
        </w:tc>
        <w:tc>
          <w:tcPr>
            <w:tcW w:w="3260" w:type="dxa"/>
            <w:gridSpan w:val="4"/>
            <w:tcBorders>
              <w:top w:val="single" w:sz="6" w:space="0" w:color="auto"/>
              <w:left w:val="single" w:sz="6" w:space="0" w:color="auto"/>
              <w:bottom w:val="single" w:sz="6" w:space="0" w:color="auto"/>
            </w:tcBorders>
          </w:tcPr>
          <w:p w:rsidR="00B77D50" w:rsidRDefault="00B77D50" w:rsidP="00DE0576">
            <w:pPr>
              <w:rPr>
                <w:lang w:val="es-ES"/>
              </w:rPr>
            </w:pPr>
            <w:r w:rsidRPr="00B77D50">
              <w:rPr>
                <w:lang w:val="es-MX"/>
              </w:rPr>
              <w:t xml:space="preserve">     </w:t>
            </w:r>
            <w:r>
              <w:rPr>
                <w:lang w:val="es-ES"/>
              </w:rPr>
              <w:t>R  E  S  P  O  N  S  E  (R</w:t>
            </w:r>
            <w:r>
              <w:rPr>
                <w:position w:val="-6"/>
                <w:lang w:val="es-ES"/>
              </w:rPr>
              <w:t>s</w:t>
            </w:r>
            <w:r>
              <w:rPr>
                <w:lang w:val="es-ES"/>
              </w:rPr>
              <w:t>*)</w:t>
            </w:r>
          </w:p>
        </w:tc>
      </w:tr>
      <w:tr w:rsidR="00B77D50" w:rsidTr="00DE0576">
        <w:tblPrEx>
          <w:tblCellMar>
            <w:top w:w="0" w:type="dxa"/>
            <w:bottom w:w="0" w:type="dxa"/>
          </w:tblCellMar>
        </w:tblPrEx>
        <w:trPr>
          <w:cantSplit/>
        </w:trPr>
        <w:tc>
          <w:tcPr>
            <w:tcW w:w="817" w:type="dxa"/>
            <w:tcBorders>
              <w:top w:val="single" w:sz="6" w:space="0" w:color="auto"/>
              <w:bottom w:val="single" w:sz="6" w:space="0" w:color="auto"/>
            </w:tcBorders>
          </w:tcPr>
          <w:p w:rsidR="00B77D50" w:rsidRDefault="00B77D50" w:rsidP="00DE0576">
            <w:pPr>
              <w:jc w:val="center"/>
            </w:pPr>
            <w:r>
              <w:rPr>
                <w:lang w:val="es-ES"/>
              </w:rPr>
              <w:t xml:space="preserve"> </w:t>
            </w:r>
            <w:r>
              <w:t>CD type</w:t>
            </w:r>
          </w:p>
        </w:tc>
        <w:tc>
          <w:tcPr>
            <w:tcW w:w="803" w:type="dxa"/>
            <w:tcBorders>
              <w:top w:val="single" w:sz="6" w:space="0" w:color="auto"/>
              <w:bottom w:val="single" w:sz="6" w:space="0" w:color="auto"/>
            </w:tcBorders>
          </w:tcPr>
          <w:p w:rsidR="00B77D50" w:rsidRDefault="00B77D50" w:rsidP="00DE0576">
            <w:pPr>
              <w:ind w:left="-115" w:right="-112"/>
              <w:jc w:val="center"/>
            </w:pPr>
            <w:r>
              <w:t>% CD</w:t>
            </w:r>
          </w:p>
        </w:tc>
        <w:tc>
          <w:tcPr>
            <w:tcW w:w="709" w:type="dxa"/>
            <w:tcBorders>
              <w:top w:val="single" w:sz="6" w:space="0" w:color="auto"/>
              <w:bottom w:val="single" w:sz="6" w:space="0" w:color="auto"/>
            </w:tcBorders>
          </w:tcPr>
          <w:p w:rsidR="00B77D50" w:rsidRDefault="00B77D50" w:rsidP="00DE0576">
            <w:pPr>
              <w:jc w:val="center"/>
            </w:pPr>
            <w:r>
              <w:t>pH</w:t>
            </w:r>
          </w:p>
        </w:tc>
        <w:tc>
          <w:tcPr>
            <w:tcW w:w="1089" w:type="dxa"/>
            <w:tcBorders>
              <w:top w:val="single" w:sz="6" w:space="0" w:color="auto"/>
              <w:bottom w:val="single" w:sz="6" w:space="0" w:color="auto"/>
            </w:tcBorders>
          </w:tcPr>
          <w:p w:rsidR="00B77D50" w:rsidRDefault="00B77D50" w:rsidP="00DE0576">
            <w:pPr>
              <w:ind w:left="-142" w:right="-75"/>
              <w:jc w:val="center"/>
            </w:pPr>
            <w:r>
              <w:t>% MeOH</w:t>
            </w:r>
          </w:p>
        </w:tc>
        <w:tc>
          <w:tcPr>
            <w:tcW w:w="709" w:type="dxa"/>
            <w:tcBorders>
              <w:top w:val="single" w:sz="6" w:space="0" w:color="auto"/>
              <w:bottom w:val="single" w:sz="6" w:space="0" w:color="auto"/>
            </w:tcBorders>
          </w:tcPr>
          <w:p w:rsidR="00B77D50" w:rsidRDefault="00B77D50" w:rsidP="00DE0576">
            <w:pPr>
              <w:jc w:val="center"/>
            </w:pPr>
            <w:r>
              <w:t>(1)</w:t>
            </w:r>
          </w:p>
        </w:tc>
        <w:tc>
          <w:tcPr>
            <w:tcW w:w="724" w:type="dxa"/>
            <w:tcBorders>
              <w:top w:val="single" w:sz="6" w:space="0" w:color="auto"/>
              <w:bottom w:val="single" w:sz="6" w:space="0" w:color="auto"/>
            </w:tcBorders>
          </w:tcPr>
          <w:p w:rsidR="00B77D50" w:rsidRDefault="00B77D50" w:rsidP="00DE0576">
            <w:pPr>
              <w:jc w:val="center"/>
            </w:pPr>
            <w:r>
              <w:t>(2)</w:t>
            </w:r>
          </w:p>
        </w:tc>
        <w:tc>
          <w:tcPr>
            <w:tcW w:w="851" w:type="dxa"/>
            <w:tcBorders>
              <w:top w:val="single" w:sz="6" w:space="0" w:color="auto"/>
              <w:bottom w:val="single" w:sz="6" w:space="0" w:color="auto"/>
            </w:tcBorders>
          </w:tcPr>
          <w:p w:rsidR="00B77D50" w:rsidRDefault="00B77D50" w:rsidP="00DE0576">
            <w:pPr>
              <w:jc w:val="center"/>
            </w:pPr>
            <w:r>
              <w:t>(3)</w:t>
            </w:r>
          </w:p>
        </w:tc>
        <w:tc>
          <w:tcPr>
            <w:tcW w:w="976" w:type="dxa"/>
            <w:tcBorders>
              <w:top w:val="single" w:sz="6" w:space="0" w:color="auto"/>
              <w:bottom w:val="single" w:sz="6" w:space="0" w:color="auto"/>
            </w:tcBorders>
          </w:tcPr>
          <w:p w:rsidR="00B77D50" w:rsidRDefault="00B77D50" w:rsidP="00DE0576">
            <w:pPr>
              <w:jc w:val="center"/>
            </w:pPr>
            <w:r>
              <w:t>(4)</w:t>
            </w:r>
          </w:p>
        </w:tc>
      </w:tr>
      <w:tr w:rsidR="00B77D50" w:rsidTr="00DE0576">
        <w:tblPrEx>
          <w:tblCellMar>
            <w:top w:w="0" w:type="dxa"/>
            <w:bottom w:w="0" w:type="dxa"/>
          </w:tblCellMar>
        </w:tblPrEx>
        <w:trPr>
          <w:cantSplit/>
        </w:trPr>
        <w:tc>
          <w:tcPr>
            <w:tcW w:w="817" w:type="dxa"/>
          </w:tcPr>
          <w:p w:rsidR="00B77D50" w:rsidRDefault="00B77D50" w:rsidP="00DE0576">
            <w:r>
              <w:t xml:space="preserve">   1</w:t>
            </w:r>
          </w:p>
        </w:tc>
        <w:tc>
          <w:tcPr>
            <w:tcW w:w="803" w:type="dxa"/>
          </w:tcPr>
          <w:p w:rsidR="00B77D50" w:rsidRDefault="00B77D50" w:rsidP="00DE0576">
            <w:pPr>
              <w:ind w:left="-115" w:right="-112"/>
              <w:jc w:val="center"/>
            </w:pPr>
            <w:r>
              <w:t xml:space="preserve"> 0</w:t>
            </w:r>
          </w:p>
        </w:tc>
        <w:tc>
          <w:tcPr>
            <w:tcW w:w="709" w:type="dxa"/>
          </w:tcPr>
          <w:p w:rsidR="00B77D50" w:rsidRDefault="00B77D50" w:rsidP="00DE0576">
            <w:r>
              <w:t xml:space="preserve">  0</w:t>
            </w:r>
          </w:p>
        </w:tc>
        <w:tc>
          <w:tcPr>
            <w:tcW w:w="1089" w:type="dxa"/>
          </w:tcPr>
          <w:p w:rsidR="00B77D50" w:rsidRDefault="00B77D50" w:rsidP="00DE0576">
            <w:r>
              <w:t xml:space="preserve">   -1</w:t>
            </w:r>
          </w:p>
        </w:tc>
        <w:tc>
          <w:tcPr>
            <w:tcW w:w="709" w:type="dxa"/>
          </w:tcPr>
          <w:p w:rsidR="00B77D50" w:rsidRDefault="00B77D50" w:rsidP="00DE0576">
            <w:pPr>
              <w:jc w:val="center"/>
            </w:pPr>
            <w:r>
              <w:t>0.73</w:t>
            </w:r>
          </w:p>
        </w:tc>
        <w:tc>
          <w:tcPr>
            <w:tcW w:w="724" w:type="dxa"/>
          </w:tcPr>
          <w:p w:rsidR="00B77D50" w:rsidRDefault="00B77D50" w:rsidP="00DE0576">
            <w:pPr>
              <w:jc w:val="center"/>
            </w:pPr>
            <w:r>
              <w:t>1.03</w:t>
            </w:r>
          </w:p>
        </w:tc>
        <w:tc>
          <w:tcPr>
            <w:tcW w:w="851" w:type="dxa"/>
          </w:tcPr>
          <w:p w:rsidR="00B77D50" w:rsidRDefault="00B77D50" w:rsidP="00DE0576">
            <w:pPr>
              <w:jc w:val="center"/>
            </w:pPr>
            <w:r>
              <w:t>0.44</w:t>
            </w:r>
          </w:p>
        </w:tc>
        <w:tc>
          <w:tcPr>
            <w:tcW w:w="976" w:type="dxa"/>
          </w:tcPr>
          <w:p w:rsidR="00B77D50" w:rsidRDefault="00B77D50" w:rsidP="00DE0576">
            <w:pPr>
              <w:jc w:val="center"/>
            </w:pPr>
            <w:r>
              <w:t>0.67</w:t>
            </w:r>
          </w:p>
        </w:tc>
      </w:tr>
      <w:tr w:rsidR="00B77D50" w:rsidTr="00DE0576">
        <w:tblPrEx>
          <w:tblCellMar>
            <w:top w:w="0" w:type="dxa"/>
            <w:bottom w:w="0" w:type="dxa"/>
          </w:tblCellMar>
        </w:tblPrEx>
        <w:trPr>
          <w:cantSplit/>
        </w:trPr>
        <w:tc>
          <w:tcPr>
            <w:tcW w:w="817" w:type="dxa"/>
          </w:tcPr>
          <w:p w:rsidR="00B77D50" w:rsidRDefault="00B77D50" w:rsidP="00DE0576">
            <w:r>
              <w:t xml:space="preserve">   1</w:t>
            </w:r>
          </w:p>
        </w:tc>
        <w:tc>
          <w:tcPr>
            <w:tcW w:w="803" w:type="dxa"/>
          </w:tcPr>
          <w:p w:rsidR="00B77D50" w:rsidRDefault="00B77D50" w:rsidP="00DE0576">
            <w:pPr>
              <w:ind w:left="-115" w:right="-112"/>
              <w:jc w:val="center"/>
            </w:pPr>
            <w:r>
              <w:t>-1</w:t>
            </w:r>
          </w:p>
        </w:tc>
        <w:tc>
          <w:tcPr>
            <w:tcW w:w="709" w:type="dxa"/>
          </w:tcPr>
          <w:p w:rsidR="00B77D50" w:rsidRDefault="00B77D50" w:rsidP="00DE0576">
            <w:r>
              <w:t xml:space="preserve">  1</w:t>
            </w:r>
          </w:p>
        </w:tc>
        <w:tc>
          <w:tcPr>
            <w:tcW w:w="1089" w:type="dxa"/>
          </w:tcPr>
          <w:p w:rsidR="00B77D50" w:rsidRDefault="00B77D50" w:rsidP="00DE0576">
            <w:r>
              <w:t xml:space="preserve">    0</w:t>
            </w:r>
          </w:p>
        </w:tc>
        <w:tc>
          <w:tcPr>
            <w:tcW w:w="709" w:type="dxa"/>
          </w:tcPr>
          <w:p w:rsidR="00B77D50" w:rsidRDefault="00B77D50" w:rsidP="00DE0576">
            <w:pPr>
              <w:jc w:val="center"/>
            </w:pPr>
            <w:r>
              <w:t>0.36</w:t>
            </w:r>
          </w:p>
        </w:tc>
        <w:tc>
          <w:tcPr>
            <w:tcW w:w="724" w:type="dxa"/>
          </w:tcPr>
          <w:p w:rsidR="00B77D50" w:rsidRDefault="00B77D50" w:rsidP="00DE0576">
            <w:pPr>
              <w:jc w:val="center"/>
            </w:pPr>
            <w:r>
              <w:t>0.73</w:t>
            </w:r>
          </w:p>
        </w:tc>
        <w:tc>
          <w:tcPr>
            <w:tcW w:w="851" w:type="dxa"/>
          </w:tcPr>
          <w:p w:rsidR="00B77D50" w:rsidRDefault="00B77D50" w:rsidP="00DE0576">
            <w:pPr>
              <w:jc w:val="center"/>
            </w:pPr>
            <w:r>
              <w:t>0</w:t>
            </w:r>
          </w:p>
        </w:tc>
        <w:tc>
          <w:tcPr>
            <w:tcW w:w="976" w:type="dxa"/>
          </w:tcPr>
          <w:p w:rsidR="00B77D50" w:rsidRDefault="00B77D50" w:rsidP="00DE0576">
            <w:pPr>
              <w:jc w:val="center"/>
            </w:pPr>
            <w:r>
              <w:t>0.59</w:t>
            </w:r>
          </w:p>
        </w:tc>
      </w:tr>
      <w:tr w:rsidR="00B77D50" w:rsidTr="00DE0576">
        <w:tblPrEx>
          <w:tblCellMar>
            <w:top w:w="0" w:type="dxa"/>
            <w:bottom w:w="0" w:type="dxa"/>
          </w:tblCellMar>
        </w:tblPrEx>
        <w:trPr>
          <w:cantSplit/>
        </w:trPr>
        <w:tc>
          <w:tcPr>
            <w:tcW w:w="817" w:type="dxa"/>
          </w:tcPr>
          <w:p w:rsidR="00B77D50" w:rsidRDefault="00B77D50" w:rsidP="00DE0576">
            <w:r>
              <w:t xml:space="preserve">   1</w:t>
            </w:r>
          </w:p>
        </w:tc>
        <w:tc>
          <w:tcPr>
            <w:tcW w:w="803" w:type="dxa"/>
          </w:tcPr>
          <w:p w:rsidR="00B77D50" w:rsidRDefault="00B77D50" w:rsidP="00DE0576">
            <w:pPr>
              <w:ind w:left="-115" w:right="-112"/>
              <w:jc w:val="center"/>
            </w:pPr>
            <w:r>
              <w:t xml:space="preserve"> 1</w:t>
            </w:r>
          </w:p>
        </w:tc>
        <w:tc>
          <w:tcPr>
            <w:tcW w:w="709" w:type="dxa"/>
          </w:tcPr>
          <w:p w:rsidR="00B77D50" w:rsidRDefault="00B77D50" w:rsidP="00DE0576">
            <w:r>
              <w:t xml:space="preserve"> -1</w:t>
            </w:r>
          </w:p>
        </w:tc>
        <w:tc>
          <w:tcPr>
            <w:tcW w:w="1089" w:type="dxa"/>
          </w:tcPr>
          <w:p w:rsidR="00B77D50" w:rsidRDefault="00B77D50" w:rsidP="00DE0576">
            <w:r>
              <w:t xml:space="preserve">    1</w:t>
            </w:r>
          </w:p>
        </w:tc>
        <w:tc>
          <w:tcPr>
            <w:tcW w:w="709" w:type="dxa"/>
          </w:tcPr>
          <w:p w:rsidR="00B77D50" w:rsidRDefault="00B77D50" w:rsidP="00DE0576">
            <w:pPr>
              <w:jc w:val="center"/>
            </w:pPr>
            <w:r>
              <w:t>0.69</w:t>
            </w:r>
          </w:p>
        </w:tc>
        <w:tc>
          <w:tcPr>
            <w:tcW w:w="724" w:type="dxa"/>
          </w:tcPr>
          <w:p w:rsidR="00B77D50" w:rsidRDefault="00B77D50" w:rsidP="00DE0576">
            <w:pPr>
              <w:jc w:val="center"/>
            </w:pPr>
            <w:r>
              <w:t>0.73</w:t>
            </w:r>
          </w:p>
        </w:tc>
        <w:tc>
          <w:tcPr>
            <w:tcW w:w="851" w:type="dxa"/>
          </w:tcPr>
          <w:p w:rsidR="00B77D50" w:rsidRDefault="00B77D50" w:rsidP="00DE0576">
            <w:pPr>
              <w:jc w:val="center"/>
            </w:pPr>
            <w:r>
              <w:t>0</w:t>
            </w:r>
          </w:p>
        </w:tc>
        <w:tc>
          <w:tcPr>
            <w:tcW w:w="976" w:type="dxa"/>
          </w:tcPr>
          <w:p w:rsidR="00B77D50" w:rsidRDefault="00B77D50" w:rsidP="00DE0576">
            <w:pPr>
              <w:jc w:val="center"/>
            </w:pPr>
            <w:r>
              <w:t>0.63</w:t>
            </w:r>
          </w:p>
        </w:tc>
      </w:tr>
      <w:tr w:rsidR="00B77D50" w:rsidTr="00DE0576">
        <w:tblPrEx>
          <w:tblCellMar>
            <w:top w:w="0" w:type="dxa"/>
            <w:bottom w:w="0" w:type="dxa"/>
          </w:tblCellMar>
        </w:tblPrEx>
        <w:trPr>
          <w:cantSplit/>
        </w:trPr>
        <w:tc>
          <w:tcPr>
            <w:tcW w:w="817" w:type="dxa"/>
          </w:tcPr>
          <w:p w:rsidR="00B77D50" w:rsidRDefault="00B77D50" w:rsidP="00DE0576">
            <w:r>
              <w:t xml:space="preserve">   0</w:t>
            </w:r>
          </w:p>
        </w:tc>
        <w:tc>
          <w:tcPr>
            <w:tcW w:w="803" w:type="dxa"/>
          </w:tcPr>
          <w:p w:rsidR="00B77D50" w:rsidRDefault="00B77D50" w:rsidP="00DE0576">
            <w:pPr>
              <w:ind w:left="-115" w:right="-112"/>
              <w:jc w:val="center"/>
            </w:pPr>
            <w:r>
              <w:t>-1</w:t>
            </w:r>
          </w:p>
        </w:tc>
        <w:tc>
          <w:tcPr>
            <w:tcW w:w="709" w:type="dxa"/>
          </w:tcPr>
          <w:p w:rsidR="00B77D50" w:rsidRDefault="00B77D50" w:rsidP="00DE0576">
            <w:r>
              <w:t xml:space="preserve">  0</w:t>
            </w:r>
          </w:p>
        </w:tc>
        <w:tc>
          <w:tcPr>
            <w:tcW w:w="1089" w:type="dxa"/>
          </w:tcPr>
          <w:p w:rsidR="00B77D50" w:rsidRDefault="00B77D50" w:rsidP="00DE0576">
            <w:r>
              <w:t xml:space="preserve">    1</w:t>
            </w:r>
          </w:p>
        </w:tc>
        <w:tc>
          <w:tcPr>
            <w:tcW w:w="709" w:type="dxa"/>
          </w:tcPr>
          <w:p w:rsidR="00B77D50" w:rsidRDefault="00B77D50" w:rsidP="00DE0576">
            <w:pPr>
              <w:jc w:val="center"/>
            </w:pPr>
            <w:r>
              <w:t>0</w:t>
            </w:r>
          </w:p>
        </w:tc>
        <w:tc>
          <w:tcPr>
            <w:tcW w:w="724" w:type="dxa"/>
          </w:tcPr>
          <w:p w:rsidR="00B77D50" w:rsidRDefault="00B77D50" w:rsidP="00DE0576">
            <w:pPr>
              <w:jc w:val="center"/>
            </w:pPr>
            <w:r>
              <w:t>0</w:t>
            </w:r>
          </w:p>
        </w:tc>
        <w:tc>
          <w:tcPr>
            <w:tcW w:w="851" w:type="dxa"/>
          </w:tcPr>
          <w:p w:rsidR="00B77D50" w:rsidRDefault="00B77D50" w:rsidP="00DE0576">
            <w:pPr>
              <w:jc w:val="center"/>
            </w:pPr>
            <w:r>
              <w:t>0</w:t>
            </w:r>
          </w:p>
        </w:tc>
        <w:tc>
          <w:tcPr>
            <w:tcW w:w="976" w:type="dxa"/>
          </w:tcPr>
          <w:p w:rsidR="00B77D50" w:rsidRDefault="00B77D50" w:rsidP="00DE0576">
            <w:pPr>
              <w:jc w:val="center"/>
            </w:pPr>
            <w:r>
              <w:t>0</w:t>
            </w:r>
          </w:p>
        </w:tc>
      </w:tr>
      <w:tr w:rsidR="00B77D50" w:rsidTr="00DE0576">
        <w:tblPrEx>
          <w:tblCellMar>
            <w:top w:w="0" w:type="dxa"/>
            <w:bottom w:w="0" w:type="dxa"/>
          </w:tblCellMar>
        </w:tblPrEx>
        <w:trPr>
          <w:cantSplit/>
        </w:trPr>
        <w:tc>
          <w:tcPr>
            <w:tcW w:w="817" w:type="dxa"/>
          </w:tcPr>
          <w:p w:rsidR="00B77D50" w:rsidRDefault="00B77D50" w:rsidP="00DE0576">
            <w:r>
              <w:t xml:space="preserve">   0</w:t>
            </w:r>
          </w:p>
        </w:tc>
        <w:tc>
          <w:tcPr>
            <w:tcW w:w="803" w:type="dxa"/>
          </w:tcPr>
          <w:p w:rsidR="00B77D50" w:rsidRDefault="00B77D50" w:rsidP="00DE0576">
            <w:pPr>
              <w:ind w:left="-115" w:right="-112"/>
              <w:jc w:val="center"/>
            </w:pPr>
            <w:r>
              <w:t xml:space="preserve"> 0</w:t>
            </w:r>
          </w:p>
        </w:tc>
        <w:tc>
          <w:tcPr>
            <w:tcW w:w="709" w:type="dxa"/>
          </w:tcPr>
          <w:p w:rsidR="00B77D50" w:rsidRDefault="00B77D50" w:rsidP="00DE0576">
            <w:r>
              <w:t xml:space="preserve"> -1</w:t>
            </w:r>
          </w:p>
        </w:tc>
        <w:tc>
          <w:tcPr>
            <w:tcW w:w="1089" w:type="dxa"/>
          </w:tcPr>
          <w:p w:rsidR="00B77D50" w:rsidRDefault="00B77D50" w:rsidP="00DE0576">
            <w:r>
              <w:t xml:space="preserve">    0</w:t>
            </w:r>
          </w:p>
        </w:tc>
        <w:tc>
          <w:tcPr>
            <w:tcW w:w="709" w:type="dxa"/>
          </w:tcPr>
          <w:p w:rsidR="00B77D50" w:rsidRDefault="00B77D50" w:rsidP="00DE0576">
            <w:pPr>
              <w:jc w:val="center"/>
            </w:pPr>
            <w:r>
              <w:t>0.61</w:t>
            </w:r>
          </w:p>
        </w:tc>
        <w:tc>
          <w:tcPr>
            <w:tcW w:w="724" w:type="dxa"/>
          </w:tcPr>
          <w:p w:rsidR="00B77D50" w:rsidRDefault="00B77D50" w:rsidP="00DE0576">
            <w:pPr>
              <w:jc w:val="center"/>
            </w:pPr>
            <w:r>
              <w:t>0.67</w:t>
            </w:r>
          </w:p>
        </w:tc>
        <w:tc>
          <w:tcPr>
            <w:tcW w:w="851" w:type="dxa"/>
          </w:tcPr>
          <w:p w:rsidR="00B77D50" w:rsidRDefault="00B77D50" w:rsidP="00DE0576">
            <w:pPr>
              <w:jc w:val="center"/>
            </w:pPr>
            <w:r>
              <w:t>0</w:t>
            </w:r>
          </w:p>
        </w:tc>
        <w:tc>
          <w:tcPr>
            <w:tcW w:w="976" w:type="dxa"/>
          </w:tcPr>
          <w:p w:rsidR="00B77D50" w:rsidRDefault="00B77D50" w:rsidP="00DE0576">
            <w:pPr>
              <w:jc w:val="center"/>
            </w:pPr>
            <w:r>
              <w:t>0</w:t>
            </w:r>
          </w:p>
        </w:tc>
      </w:tr>
      <w:tr w:rsidR="00B77D50" w:rsidTr="00DE0576">
        <w:tblPrEx>
          <w:tblCellMar>
            <w:top w:w="0" w:type="dxa"/>
            <w:bottom w:w="0" w:type="dxa"/>
          </w:tblCellMar>
        </w:tblPrEx>
        <w:trPr>
          <w:cantSplit/>
        </w:trPr>
        <w:tc>
          <w:tcPr>
            <w:tcW w:w="817" w:type="dxa"/>
          </w:tcPr>
          <w:p w:rsidR="00B77D50" w:rsidRDefault="00B77D50" w:rsidP="00DE0576">
            <w:r>
              <w:t xml:space="preserve">   0</w:t>
            </w:r>
          </w:p>
        </w:tc>
        <w:tc>
          <w:tcPr>
            <w:tcW w:w="803" w:type="dxa"/>
          </w:tcPr>
          <w:p w:rsidR="00B77D50" w:rsidRDefault="00B77D50" w:rsidP="00DE0576">
            <w:pPr>
              <w:ind w:left="-115" w:right="-112"/>
              <w:jc w:val="center"/>
            </w:pPr>
            <w:r>
              <w:t xml:space="preserve"> 1</w:t>
            </w:r>
          </w:p>
        </w:tc>
        <w:tc>
          <w:tcPr>
            <w:tcW w:w="709" w:type="dxa"/>
          </w:tcPr>
          <w:p w:rsidR="00B77D50" w:rsidRDefault="00B77D50" w:rsidP="00DE0576">
            <w:r>
              <w:t xml:space="preserve">  1</w:t>
            </w:r>
          </w:p>
        </w:tc>
        <w:tc>
          <w:tcPr>
            <w:tcW w:w="1089" w:type="dxa"/>
          </w:tcPr>
          <w:p w:rsidR="00B77D50" w:rsidRDefault="00B77D50" w:rsidP="00DE0576">
            <w:r>
              <w:t xml:space="preserve">   -1</w:t>
            </w:r>
          </w:p>
        </w:tc>
        <w:tc>
          <w:tcPr>
            <w:tcW w:w="709" w:type="dxa"/>
          </w:tcPr>
          <w:p w:rsidR="00B77D50" w:rsidRDefault="00B77D50" w:rsidP="00DE0576">
            <w:pPr>
              <w:jc w:val="center"/>
            </w:pPr>
            <w:r>
              <w:t>0.70</w:t>
            </w:r>
          </w:p>
        </w:tc>
        <w:tc>
          <w:tcPr>
            <w:tcW w:w="724" w:type="dxa"/>
          </w:tcPr>
          <w:p w:rsidR="00B77D50" w:rsidRDefault="00B77D50" w:rsidP="00DE0576">
            <w:pPr>
              <w:jc w:val="center"/>
            </w:pPr>
            <w:r>
              <w:t>0.59</w:t>
            </w:r>
          </w:p>
        </w:tc>
        <w:tc>
          <w:tcPr>
            <w:tcW w:w="851" w:type="dxa"/>
          </w:tcPr>
          <w:p w:rsidR="00B77D50" w:rsidRDefault="00B77D50" w:rsidP="00DE0576">
            <w:pPr>
              <w:jc w:val="center"/>
            </w:pPr>
            <w:r>
              <w:t>0</w:t>
            </w:r>
          </w:p>
        </w:tc>
        <w:tc>
          <w:tcPr>
            <w:tcW w:w="976" w:type="dxa"/>
          </w:tcPr>
          <w:p w:rsidR="00B77D50" w:rsidRDefault="00B77D50" w:rsidP="00DE0576">
            <w:pPr>
              <w:jc w:val="center"/>
            </w:pPr>
            <w:r>
              <w:t>0</w:t>
            </w:r>
          </w:p>
        </w:tc>
      </w:tr>
      <w:tr w:rsidR="00B77D50" w:rsidTr="00DE0576">
        <w:tblPrEx>
          <w:tblCellMar>
            <w:top w:w="0" w:type="dxa"/>
            <w:bottom w:w="0" w:type="dxa"/>
          </w:tblCellMar>
        </w:tblPrEx>
        <w:trPr>
          <w:cantSplit/>
        </w:trPr>
        <w:tc>
          <w:tcPr>
            <w:tcW w:w="817" w:type="dxa"/>
          </w:tcPr>
          <w:p w:rsidR="00B77D50" w:rsidRDefault="00B77D50" w:rsidP="00DE0576">
            <w:r>
              <w:t xml:space="preserve">  -1</w:t>
            </w:r>
          </w:p>
        </w:tc>
        <w:tc>
          <w:tcPr>
            <w:tcW w:w="803" w:type="dxa"/>
          </w:tcPr>
          <w:p w:rsidR="00B77D50" w:rsidRDefault="00B77D50" w:rsidP="00DE0576">
            <w:pPr>
              <w:ind w:left="-115" w:right="-112"/>
              <w:jc w:val="center"/>
            </w:pPr>
            <w:r>
              <w:t xml:space="preserve"> 0</w:t>
            </w:r>
          </w:p>
        </w:tc>
        <w:tc>
          <w:tcPr>
            <w:tcW w:w="709" w:type="dxa"/>
          </w:tcPr>
          <w:p w:rsidR="00B77D50" w:rsidRDefault="00B77D50" w:rsidP="00DE0576">
            <w:r>
              <w:t xml:space="preserve">  1</w:t>
            </w:r>
          </w:p>
        </w:tc>
        <w:tc>
          <w:tcPr>
            <w:tcW w:w="1089" w:type="dxa"/>
          </w:tcPr>
          <w:p w:rsidR="00B77D50" w:rsidRDefault="00B77D50" w:rsidP="00DE0576">
            <w:r>
              <w:t xml:space="preserve">    1</w:t>
            </w:r>
          </w:p>
        </w:tc>
        <w:tc>
          <w:tcPr>
            <w:tcW w:w="709" w:type="dxa"/>
          </w:tcPr>
          <w:p w:rsidR="00B77D50" w:rsidRDefault="00B77D50" w:rsidP="00DE0576">
            <w:pPr>
              <w:jc w:val="center"/>
            </w:pPr>
            <w:r>
              <w:t>2.72</w:t>
            </w:r>
          </w:p>
        </w:tc>
        <w:tc>
          <w:tcPr>
            <w:tcW w:w="724" w:type="dxa"/>
          </w:tcPr>
          <w:p w:rsidR="00B77D50" w:rsidRDefault="00B77D50" w:rsidP="00DE0576">
            <w:pPr>
              <w:jc w:val="center"/>
            </w:pPr>
            <w:r>
              <w:t>17.5</w:t>
            </w:r>
          </w:p>
        </w:tc>
        <w:tc>
          <w:tcPr>
            <w:tcW w:w="851" w:type="dxa"/>
          </w:tcPr>
          <w:p w:rsidR="00B77D50" w:rsidRDefault="00B77D50" w:rsidP="00DE0576">
            <w:pPr>
              <w:jc w:val="center"/>
            </w:pPr>
            <w:r>
              <w:t>0.47</w:t>
            </w:r>
          </w:p>
        </w:tc>
        <w:tc>
          <w:tcPr>
            <w:tcW w:w="976" w:type="dxa"/>
          </w:tcPr>
          <w:p w:rsidR="00B77D50" w:rsidRDefault="00B77D50" w:rsidP="00DE0576">
            <w:pPr>
              <w:jc w:val="center"/>
            </w:pPr>
            <w:r>
              <w:t>4.72</w:t>
            </w:r>
          </w:p>
        </w:tc>
      </w:tr>
      <w:tr w:rsidR="00B77D50" w:rsidTr="00DE0576">
        <w:tblPrEx>
          <w:tblCellMar>
            <w:top w:w="0" w:type="dxa"/>
            <w:bottom w:w="0" w:type="dxa"/>
          </w:tblCellMar>
        </w:tblPrEx>
        <w:trPr>
          <w:cantSplit/>
        </w:trPr>
        <w:tc>
          <w:tcPr>
            <w:tcW w:w="817" w:type="dxa"/>
          </w:tcPr>
          <w:p w:rsidR="00B77D50" w:rsidRDefault="00B77D50" w:rsidP="00DE0576">
            <w:pPr>
              <w:rPr>
                <w:b/>
              </w:rPr>
            </w:pPr>
            <w:r>
              <w:rPr>
                <w:b/>
              </w:rPr>
              <w:t xml:space="preserve">  -1</w:t>
            </w:r>
          </w:p>
        </w:tc>
        <w:tc>
          <w:tcPr>
            <w:tcW w:w="803" w:type="dxa"/>
          </w:tcPr>
          <w:p w:rsidR="00B77D50" w:rsidRDefault="00B77D50" w:rsidP="00DE0576">
            <w:pPr>
              <w:ind w:left="-115" w:right="-112"/>
              <w:jc w:val="center"/>
              <w:rPr>
                <w:b/>
              </w:rPr>
            </w:pPr>
            <w:r>
              <w:rPr>
                <w:b/>
              </w:rPr>
              <w:t xml:space="preserve"> 1</w:t>
            </w:r>
          </w:p>
        </w:tc>
        <w:tc>
          <w:tcPr>
            <w:tcW w:w="709" w:type="dxa"/>
          </w:tcPr>
          <w:p w:rsidR="00B77D50" w:rsidRDefault="00B77D50" w:rsidP="00DE0576">
            <w:pPr>
              <w:rPr>
                <w:b/>
              </w:rPr>
            </w:pPr>
            <w:r>
              <w:rPr>
                <w:b/>
              </w:rPr>
              <w:t xml:space="preserve">  0</w:t>
            </w:r>
          </w:p>
        </w:tc>
        <w:tc>
          <w:tcPr>
            <w:tcW w:w="1089" w:type="dxa"/>
          </w:tcPr>
          <w:p w:rsidR="00B77D50" w:rsidRDefault="00B77D50" w:rsidP="00DE0576">
            <w:pPr>
              <w:rPr>
                <w:b/>
              </w:rPr>
            </w:pPr>
            <w:r>
              <w:rPr>
                <w:b/>
              </w:rPr>
              <w:t xml:space="preserve">    0</w:t>
            </w:r>
          </w:p>
        </w:tc>
        <w:tc>
          <w:tcPr>
            <w:tcW w:w="709" w:type="dxa"/>
          </w:tcPr>
          <w:p w:rsidR="00B77D50" w:rsidRDefault="00B77D50" w:rsidP="00DE0576">
            <w:pPr>
              <w:jc w:val="center"/>
              <w:rPr>
                <w:b/>
              </w:rPr>
            </w:pPr>
            <w:r>
              <w:rPr>
                <w:b/>
              </w:rPr>
              <w:t>8.82</w:t>
            </w:r>
          </w:p>
        </w:tc>
        <w:tc>
          <w:tcPr>
            <w:tcW w:w="724" w:type="dxa"/>
          </w:tcPr>
          <w:p w:rsidR="00B77D50" w:rsidRDefault="00B77D50" w:rsidP="00DE0576">
            <w:pPr>
              <w:jc w:val="center"/>
              <w:rPr>
                <w:b/>
              </w:rPr>
            </w:pPr>
            <w:r>
              <w:rPr>
                <w:b/>
              </w:rPr>
              <w:t>33.2</w:t>
            </w:r>
          </w:p>
        </w:tc>
        <w:tc>
          <w:tcPr>
            <w:tcW w:w="851" w:type="dxa"/>
          </w:tcPr>
          <w:p w:rsidR="00B77D50" w:rsidRDefault="00B77D50" w:rsidP="00DE0576">
            <w:pPr>
              <w:jc w:val="center"/>
              <w:rPr>
                <w:b/>
              </w:rPr>
            </w:pPr>
            <w:r>
              <w:rPr>
                <w:b/>
              </w:rPr>
              <w:t>3.09</w:t>
            </w:r>
          </w:p>
        </w:tc>
        <w:tc>
          <w:tcPr>
            <w:tcW w:w="976" w:type="dxa"/>
          </w:tcPr>
          <w:p w:rsidR="00B77D50" w:rsidRDefault="00B77D50" w:rsidP="00DE0576">
            <w:pPr>
              <w:jc w:val="center"/>
              <w:rPr>
                <w:b/>
              </w:rPr>
            </w:pPr>
            <w:r>
              <w:rPr>
                <w:b/>
              </w:rPr>
              <w:t>6.37</w:t>
            </w:r>
          </w:p>
        </w:tc>
      </w:tr>
      <w:tr w:rsidR="00B77D50" w:rsidTr="00DE0576">
        <w:tblPrEx>
          <w:tblCellMar>
            <w:top w:w="0" w:type="dxa"/>
            <w:bottom w:w="0" w:type="dxa"/>
          </w:tblCellMar>
        </w:tblPrEx>
        <w:trPr>
          <w:cantSplit/>
        </w:trPr>
        <w:tc>
          <w:tcPr>
            <w:tcW w:w="817" w:type="dxa"/>
            <w:tcBorders>
              <w:bottom w:val="single" w:sz="6" w:space="0" w:color="auto"/>
            </w:tcBorders>
          </w:tcPr>
          <w:p w:rsidR="00B77D50" w:rsidRDefault="00B77D50" w:rsidP="00DE0576">
            <w:r>
              <w:t xml:space="preserve">  -1</w:t>
            </w:r>
          </w:p>
        </w:tc>
        <w:tc>
          <w:tcPr>
            <w:tcW w:w="803" w:type="dxa"/>
            <w:tcBorders>
              <w:bottom w:val="single" w:sz="6" w:space="0" w:color="auto"/>
            </w:tcBorders>
          </w:tcPr>
          <w:p w:rsidR="00B77D50" w:rsidRDefault="00B77D50" w:rsidP="00DE0576">
            <w:pPr>
              <w:ind w:left="-115" w:right="-112"/>
              <w:jc w:val="center"/>
            </w:pPr>
            <w:r>
              <w:t>-1</w:t>
            </w:r>
          </w:p>
        </w:tc>
        <w:tc>
          <w:tcPr>
            <w:tcW w:w="709" w:type="dxa"/>
            <w:tcBorders>
              <w:bottom w:val="single" w:sz="6" w:space="0" w:color="auto"/>
            </w:tcBorders>
          </w:tcPr>
          <w:p w:rsidR="00B77D50" w:rsidRDefault="00B77D50" w:rsidP="00DE0576">
            <w:r>
              <w:t>-1</w:t>
            </w:r>
          </w:p>
        </w:tc>
        <w:tc>
          <w:tcPr>
            <w:tcW w:w="1089" w:type="dxa"/>
            <w:tcBorders>
              <w:bottom w:val="single" w:sz="6" w:space="0" w:color="auto"/>
            </w:tcBorders>
          </w:tcPr>
          <w:p w:rsidR="00B77D50" w:rsidRDefault="00B77D50" w:rsidP="00DE0576">
            <w:r>
              <w:t xml:space="preserve">   -1</w:t>
            </w:r>
          </w:p>
        </w:tc>
        <w:tc>
          <w:tcPr>
            <w:tcW w:w="709" w:type="dxa"/>
            <w:tcBorders>
              <w:bottom w:val="single" w:sz="6" w:space="0" w:color="auto"/>
            </w:tcBorders>
          </w:tcPr>
          <w:p w:rsidR="00B77D50" w:rsidRDefault="00B77D50" w:rsidP="00DE0576">
            <w:pPr>
              <w:jc w:val="center"/>
            </w:pPr>
            <w:r>
              <w:t>2.88</w:t>
            </w:r>
          </w:p>
        </w:tc>
        <w:tc>
          <w:tcPr>
            <w:tcW w:w="724" w:type="dxa"/>
            <w:tcBorders>
              <w:bottom w:val="single" w:sz="6" w:space="0" w:color="auto"/>
            </w:tcBorders>
          </w:tcPr>
          <w:p w:rsidR="00B77D50" w:rsidRDefault="00B77D50" w:rsidP="00DE0576">
            <w:pPr>
              <w:jc w:val="center"/>
            </w:pPr>
            <w:r>
              <w:t>9.57</w:t>
            </w:r>
          </w:p>
        </w:tc>
        <w:tc>
          <w:tcPr>
            <w:tcW w:w="851" w:type="dxa"/>
            <w:tcBorders>
              <w:bottom w:val="single" w:sz="6" w:space="0" w:color="auto"/>
            </w:tcBorders>
          </w:tcPr>
          <w:p w:rsidR="00B77D50" w:rsidRDefault="00B77D50" w:rsidP="00DE0576">
            <w:pPr>
              <w:jc w:val="center"/>
            </w:pPr>
            <w:r>
              <w:t>0.87</w:t>
            </w:r>
          </w:p>
        </w:tc>
        <w:tc>
          <w:tcPr>
            <w:tcW w:w="976" w:type="dxa"/>
            <w:tcBorders>
              <w:bottom w:val="single" w:sz="6" w:space="0" w:color="auto"/>
            </w:tcBorders>
          </w:tcPr>
          <w:p w:rsidR="00B77D50" w:rsidRDefault="00B77D50" w:rsidP="00DE0576">
            <w:pPr>
              <w:jc w:val="center"/>
            </w:pPr>
            <w:r>
              <w:t>1.38</w:t>
            </w:r>
          </w:p>
        </w:tc>
      </w:tr>
    </w:tbl>
    <w:p w:rsidR="00B77D50" w:rsidRDefault="00B77D50" w:rsidP="00B77D50">
      <w:r>
        <w:tab/>
      </w:r>
      <w:r>
        <w:tab/>
        <w:t>(1)= Temazepam, (2) = Oxazepam, (3)= Lormetazepam, (4) = Lorazepam</w:t>
      </w:r>
    </w:p>
    <w:p w:rsidR="00B77D50" w:rsidRDefault="00B77D50" w:rsidP="00B77D50">
      <w:r>
        <w:tab/>
      </w:r>
      <w:r>
        <w:tab/>
        <w:t>R</w:t>
      </w:r>
      <w:r>
        <w:rPr>
          <w:vertAlign w:val="subscript"/>
        </w:rPr>
        <w:t>s</w:t>
      </w:r>
      <w:r>
        <w:t xml:space="preserve"> = resolution</w:t>
      </w:r>
    </w:p>
    <w:p w:rsidR="00B77D50" w:rsidRDefault="00B77D50" w:rsidP="00B77D50"/>
    <w:p w:rsidR="00B77D50" w:rsidRDefault="00B77D50" w:rsidP="00B77D50"/>
    <w:p w:rsidR="00B77D50" w:rsidRDefault="00B77D50" w:rsidP="00B77D50">
      <w:pPr>
        <w:jc w:val="center"/>
      </w:pPr>
      <w:r>
        <w:t>Table 3 Effect of the percentage of methanol in the</w:t>
      </w:r>
    </w:p>
    <w:p w:rsidR="00B77D50" w:rsidRDefault="00B77D50" w:rsidP="00B77D50">
      <w:pPr>
        <w:jc w:val="center"/>
      </w:pPr>
      <w:r>
        <w:t xml:space="preserve"> separation parameters for Oxazepam</w:t>
      </w:r>
    </w:p>
    <w:p w:rsidR="00B77D50" w:rsidRDefault="00B77D50" w:rsidP="00B77D50"/>
    <w:tbl>
      <w:tblPr>
        <w:tblW w:w="0" w:type="auto"/>
        <w:tblInd w:w="1818" w:type="dxa"/>
        <w:tblLayout w:type="fixed"/>
        <w:tblLook w:val="0000"/>
      </w:tblPr>
      <w:tblGrid>
        <w:gridCol w:w="1170"/>
        <w:gridCol w:w="866"/>
        <w:gridCol w:w="804"/>
        <w:gridCol w:w="728"/>
        <w:gridCol w:w="716"/>
        <w:gridCol w:w="716"/>
      </w:tblGrid>
      <w:tr w:rsidR="00B77D50" w:rsidTr="00DE0576">
        <w:tblPrEx>
          <w:tblCellMar>
            <w:top w:w="0" w:type="dxa"/>
            <w:bottom w:w="0" w:type="dxa"/>
          </w:tblCellMar>
        </w:tblPrEx>
        <w:tc>
          <w:tcPr>
            <w:tcW w:w="1170" w:type="dxa"/>
            <w:tcBorders>
              <w:top w:val="single" w:sz="4" w:space="0" w:color="auto"/>
              <w:bottom w:val="single" w:sz="4" w:space="0" w:color="auto"/>
            </w:tcBorders>
          </w:tcPr>
          <w:p w:rsidR="00B77D50" w:rsidRDefault="00B77D50" w:rsidP="00DE0576">
            <w:pPr>
              <w:jc w:val="center"/>
            </w:pPr>
            <w:r>
              <w:t>% MeOH</w:t>
            </w:r>
          </w:p>
        </w:tc>
        <w:tc>
          <w:tcPr>
            <w:tcW w:w="866" w:type="dxa"/>
            <w:tcBorders>
              <w:top w:val="single" w:sz="4" w:space="0" w:color="auto"/>
              <w:bottom w:val="single" w:sz="4" w:space="0" w:color="auto"/>
            </w:tcBorders>
          </w:tcPr>
          <w:p w:rsidR="00B77D50" w:rsidRDefault="00B77D50" w:rsidP="00DE0576">
            <w:pPr>
              <w:jc w:val="center"/>
            </w:pPr>
            <w:r>
              <w:t>MT</w:t>
            </w:r>
            <w:r>
              <w:rPr>
                <w:vertAlign w:val="subscript"/>
              </w:rPr>
              <w:t>1</w:t>
            </w:r>
          </w:p>
        </w:tc>
        <w:tc>
          <w:tcPr>
            <w:tcW w:w="804" w:type="dxa"/>
            <w:tcBorders>
              <w:top w:val="single" w:sz="4" w:space="0" w:color="auto"/>
              <w:bottom w:val="single" w:sz="4" w:space="0" w:color="auto"/>
            </w:tcBorders>
          </w:tcPr>
          <w:p w:rsidR="00B77D50" w:rsidRDefault="00B77D50" w:rsidP="00DE0576">
            <w:pPr>
              <w:jc w:val="center"/>
            </w:pPr>
            <w:r>
              <w:t>MT</w:t>
            </w:r>
            <w:r>
              <w:rPr>
                <w:vertAlign w:val="subscript"/>
              </w:rPr>
              <w:t>2</w:t>
            </w:r>
          </w:p>
        </w:tc>
        <w:tc>
          <w:tcPr>
            <w:tcW w:w="728" w:type="dxa"/>
            <w:tcBorders>
              <w:top w:val="single" w:sz="4" w:space="0" w:color="auto"/>
              <w:bottom w:val="single" w:sz="4" w:space="0" w:color="auto"/>
            </w:tcBorders>
          </w:tcPr>
          <w:p w:rsidR="00B77D50" w:rsidRDefault="00B77D50" w:rsidP="00DE0576">
            <w:pPr>
              <w:jc w:val="center"/>
            </w:pPr>
            <w:r>
              <w:t>R</w:t>
            </w:r>
            <w:r>
              <w:rPr>
                <w:vertAlign w:val="subscript"/>
              </w:rPr>
              <w:t>s</w:t>
            </w:r>
          </w:p>
        </w:tc>
        <w:tc>
          <w:tcPr>
            <w:tcW w:w="716" w:type="dxa"/>
            <w:tcBorders>
              <w:top w:val="single" w:sz="4" w:space="0" w:color="auto"/>
              <w:bottom w:val="single" w:sz="4" w:space="0" w:color="auto"/>
            </w:tcBorders>
          </w:tcPr>
          <w:p w:rsidR="00B77D50" w:rsidRDefault="00B77D50" w:rsidP="00DE0576">
            <w:pPr>
              <w:jc w:val="center"/>
            </w:pPr>
            <w:r>
              <w:t>H</w:t>
            </w:r>
            <w:r>
              <w:rPr>
                <w:vertAlign w:val="subscript"/>
              </w:rPr>
              <w:t>1</w:t>
            </w:r>
          </w:p>
        </w:tc>
        <w:tc>
          <w:tcPr>
            <w:tcW w:w="716" w:type="dxa"/>
            <w:tcBorders>
              <w:top w:val="single" w:sz="4" w:space="0" w:color="auto"/>
              <w:bottom w:val="single" w:sz="4" w:space="0" w:color="auto"/>
            </w:tcBorders>
          </w:tcPr>
          <w:p w:rsidR="00B77D50" w:rsidRDefault="00B77D50" w:rsidP="00DE0576">
            <w:pPr>
              <w:jc w:val="center"/>
            </w:pPr>
            <w:r>
              <w:t>H</w:t>
            </w:r>
            <w:r>
              <w:rPr>
                <w:vertAlign w:val="subscript"/>
              </w:rPr>
              <w:t>2</w:t>
            </w:r>
          </w:p>
        </w:tc>
      </w:tr>
      <w:tr w:rsidR="00B77D50" w:rsidTr="00DE0576">
        <w:tblPrEx>
          <w:tblCellMar>
            <w:top w:w="0" w:type="dxa"/>
            <w:bottom w:w="0" w:type="dxa"/>
          </w:tblCellMar>
        </w:tblPrEx>
        <w:tc>
          <w:tcPr>
            <w:tcW w:w="1170" w:type="dxa"/>
          </w:tcPr>
          <w:p w:rsidR="00B77D50" w:rsidRDefault="00B77D50" w:rsidP="00DE0576">
            <w:pPr>
              <w:jc w:val="center"/>
            </w:pPr>
            <w:r>
              <w:t>O</w:t>
            </w:r>
          </w:p>
        </w:tc>
        <w:tc>
          <w:tcPr>
            <w:tcW w:w="866" w:type="dxa"/>
          </w:tcPr>
          <w:p w:rsidR="00B77D50" w:rsidRDefault="00B77D50" w:rsidP="00DE0576">
            <w:pPr>
              <w:jc w:val="center"/>
            </w:pPr>
            <w:r>
              <w:t>8.29</w:t>
            </w:r>
          </w:p>
        </w:tc>
        <w:tc>
          <w:tcPr>
            <w:tcW w:w="804" w:type="dxa"/>
          </w:tcPr>
          <w:p w:rsidR="00B77D50" w:rsidRDefault="00B77D50" w:rsidP="00DE0576">
            <w:pPr>
              <w:jc w:val="center"/>
            </w:pPr>
            <w:r>
              <w:t>12.60</w:t>
            </w:r>
          </w:p>
        </w:tc>
        <w:tc>
          <w:tcPr>
            <w:tcW w:w="728" w:type="dxa"/>
          </w:tcPr>
          <w:p w:rsidR="00B77D50" w:rsidRDefault="00B77D50" w:rsidP="00DE0576">
            <w:pPr>
              <w:jc w:val="center"/>
            </w:pPr>
            <w:r>
              <w:t>32.5</w:t>
            </w:r>
          </w:p>
        </w:tc>
        <w:tc>
          <w:tcPr>
            <w:tcW w:w="716" w:type="dxa"/>
          </w:tcPr>
          <w:p w:rsidR="00B77D50" w:rsidRDefault="00B77D50" w:rsidP="00DE0576">
            <w:pPr>
              <w:jc w:val="center"/>
            </w:pPr>
            <w:r>
              <w:t>250</w:t>
            </w:r>
          </w:p>
        </w:tc>
        <w:tc>
          <w:tcPr>
            <w:tcW w:w="716" w:type="dxa"/>
          </w:tcPr>
          <w:p w:rsidR="00B77D50" w:rsidRDefault="00B77D50" w:rsidP="00DE0576">
            <w:pPr>
              <w:jc w:val="center"/>
            </w:pPr>
            <w:r>
              <w:t>339</w:t>
            </w:r>
          </w:p>
        </w:tc>
      </w:tr>
      <w:tr w:rsidR="00B77D50" w:rsidTr="00DE0576">
        <w:tblPrEx>
          <w:tblCellMar>
            <w:top w:w="0" w:type="dxa"/>
            <w:bottom w:w="0" w:type="dxa"/>
          </w:tblCellMar>
        </w:tblPrEx>
        <w:tc>
          <w:tcPr>
            <w:tcW w:w="1170" w:type="dxa"/>
          </w:tcPr>
          <w:p w:rsidR="00B77D50" w:rsidRDefault="00B77D50" w:rsidP="00DE0576">
            <w:pPr>
              <w:jc w:val="center"/>
            </w:pPr>
            <w:r>
              <w:t>15</w:t>
            </w:r>
          </w:p>
        </w:tc>
        <w:tc>
          <w:tcPr>
            <w:tcW w:w="866" w:type="dxa"/>
          </w:tcPr>
          <w:p w:rsidR="00B77D50" w:rsidRDefault="00B77D50" w:rsidP="00DE0576">
            <w:pPr>
              <w:jc w:val="center"/>
            </w:pPr>
            <w:r>
              <w:t>11.39</w:t>
            </w:r>
          </w:p>
        </w:tc>
        <w:tc>
          <w:tcPr>
            <w:tcW w:w="804" w:type="dxa"/>
          </w:tcPr>
          <w:p w:rsidR="00B77D50" w:rsidRDefault="00B77D50" w:rsidP="00DE0576">
            <w:pPr>
              <w:jc w:val="center"/>
            </w:pPr>
            <w:r>
              <w:t>15.63</w:t>
            </w:r>
          </w:p>
        </w:tc>
        <w:tc>
          <w:tcPr>
            <w:tcW w:w="728" w:type="dxa"/>
          </w:tcPr>
          <w:p w:rsidR="00B77D50" w:rsidRDefault="00B77D50" w:rsidP="00DE0576">
            <w:pPr>
              <w:jc w:val="center"/>
            </w:pPr>
            <w:r>
              <w:t>33.2</w:t>
            </w:r>
          </w:p>
        </w:tc>
        <w:tc>
          <w:tcPr>
            <w:tcW w:w="716" w:type="dxa"/>
          </w:tcPr>
          <w:p w:rsidR="00B77D50" w:rsidRDefault="00B77D50" w:rsidP="00DE0576">
            <w:pPr>
              <w:jc w:val="center"/>
            </w:pPr>
            <w:r>
              <w:t>1031</w:t>
            </w:r>
          </w:p>
        </w:tc>
        <w:tc>
          <w:tcPr>
            <w:tcW w:w="716" w:type="dxa"/>
          </w:tcPr>
          <w:p w:rsidR="00B77D50" w:rsidRDefault="00B77D50" w:rsidP="00DE0576">
            <w:pPr>
              <w:jc w:val="center"/>
            </w:pPr>
            <w:r>
              <w:t>1422</w:t>
            </w:r>
          </w:p>
        </w:tc>
      </w:tr>
      <w:tr w:rsidR="00B77D50" w:rsidTr="00DE0576">
        <w:tblPrEx>
          <w:tblCellMar>
            <w:top w:w="0" w:type="dxa"/>
            <w:bottom w:w="0" w:type="dxa"/>
          </w:tblCellMar>
        </w:tblPrEx>
        <w:tc>
          <w:tcPr>
            <w:tcW w:w="1170" w:type="dxa"/>
            <w:tcBorders>
              <w:bottom w:val="single" w:sz="4" w:space="0" w:color="auto"/>
            </w:tcBorders>
          </w:tcPr>
          <w:p w:rsidR="00B77D50" w:rsidRDefault="00B77D50" w:rsidP="00DE0576">
            <w:pPr>
              <w:jc w:val="center"/>
            </w:pPr>
            <w:r>
              <w:t>30</w:t>
            </w:r>
          </w:p>
        </w:tc>
        <w:tc>
          <w:tcPr>
            <w:tcW w:w="866" w:type="dxa"/>
            <w:tcBorders>
              <w:bottom w:val="single" w:sz="4" w:space="0" w:color="auto"/>
            </w:tcBorders>
          </w:tcPr>
          <w:p w:rsidR="00B77D50" w:rsidRDefault="00B77D50" w:rsidP="00DE0576">
            <w:pPr>
              <w:jc w:val="center"/>
            </w:pPr>
            <w:r>
              <w:t>19.10</w:t>
            </w:r>
          </w:p>
        </w:tc>
        <w:tc>
          <w:tcPr>
            <w:tcW w:w="804" w:type="dxa"/>
            <w:tcBorders>
              <w:bottom w:val="single" w:sz="4" w:space="0" w:color="auto"/>
            </w:tcBorders>
          </w:tcPr>
          <w:p w:rsidR="00B77D50" w:rsidRDefault="00B77D50" w:rsidP="00DE0576">
            <w:pPr>
              <w:jc w:val="center"/>
            </w:pPr>
            <w:r>
              <w:t>28.89</w:t>
            </w:r>
          </w:p>
        </w:tc>
        <w:tc>
          <w:tcPr>
            <w:tcW w:w="728" w:type="dxa"/>
            <w:tcBorders>
              <w:bottom w:val="single" w:sz="4" w:space="0" w:color="auto"/>
            </w:tcBorders>
          </w:tcPr>
          <w:p w:rsidR="00B77D50" w:rsidRDefault="00B77D50" w:rsidP="00DE0576">
            <w:pPr>
              <w:jc w:val="center"/>
            </w:pPr>
            <w:r>
              <w:t>33.0</w:t>
            </w:r>
          </w:p>
        </w:tc>
        <w:tc>
          <w:tcPr>
            <w:tcW w:w="716" w:type="dxa"/>
            <w:tcBorders>
              <w:bottom w:val="single" w:sz="4" w:space="0" w:color="auto"/>
            </w:tcBorders>
          </w:tcPr>
          <w:p w:rsidR="00B77D50" w:rsidRDefault="00B77D50" w:rsidP="00DE0576">
            <w:pPr>
              <w:jc w:val="center"/>
            </w:pPr>
            <w:r>
              <w:t>1060</w:t>
            </w:r>
          </w:p>
        </w:tc>
        <w:tc>
          <w:tcPr>
            <w:tcW w:w="716" w:type="dxa"/>
            <w:tcBorders>
              <w:bottom w:val="single" w:sz="4" w:space="0" w:color="auto"/>
            </w:tcBorders>
          </w:tcPr>
          <w:p w:rsidR="00B77D50" w:rsidRDefault="00B77D50" w:rsidP="00DE0576">
            <w:pPr>
              <w:jc w:val="center"/>
            </w:pPr>
            <w:r>
              <w:t>1427</w:t>
            </w:r>
          </w:p>
        </w:tc>
      </w:tr>
    </w:tbl>
    <w:p w:rsidR="00B77D50" w:rsidRDefault="00B77D50" w:rsidP="00B77D50">
      <w:r>
        <w:tab/>
      </w:r>
      <w:r>
        <w:tab/>
        <w:t xml:space="preserve">     % MeOH = percentage of methanol,</w:t>
      </w:r>
      <w:r>
        <w:tab/>
        <w:t>MT = migration time (min)</w:t>
      </w:r>
    </w:p>
    <w:p w:rsidR="00B77D50" w:rsidRDefault="00B77D50" w:rsidP="00B77D50">
      <w:r>
        <w:tab/>
      </w:r>
      <w:r>
        <w:tab/>
        <w:t xml:space="preserve">      R</w:t>
      </w:r>
      <w:r>
        <w:rPr>
          <w:vertAlign w:val="subscript"/>
        </w:rPr>
        <w:t>s</w:t>
      </w:r>
      <w:r>
        <w:t xml:space="preserve"> = resolution,</w:t>
      </w:r>
      <w:r>
        <w:tab/>
        <w:t>H = peak height</w:t>
      </w:r>
    </w:p>
    <w:p w:rsidR="00B77D50" w:rsidRDefault="00B77D50" w:rsidP="00B77D50">
      <w:r>
        <w:tab/>
      </w:r>
      <w:r>
        <w:tab/>
        <w:t xml:space="preserve">      Other conditions, as in Fig. 5, except for the variable content of MeOH</w:t>
      </w:r>
    </w:p>
    <w:p w:rsidR="00B77D50" w:rsidRDefault="00B77D50" w:rsidP="00B77D50"/>
    <w:p w:rsidR="00B77D50" w:rsidRDefault="00B77D50" w:rsidP="00B77D50"/>
    <w:p w:rsidR="00B77D50" w:rsidRDefault="00B77D50" w:rsidP="00B77D50"/>
    <w:p w:rsidR="00B77D50" w:rsidRDefault="00B77D50" w:rsidP="00B77D50">
      <w:pPr>
        <w:pStyle w:val="Sangradetextonormal"/>
        <w:ind w:left="1080"/>
      </w:pPr>
      <w:r>
        <w:t>Table 4 Liner equations, apparent equilibrium constants and intrinsic selectivity for benzodiazepines</w:t>
      </w:r>
    </w:p>
    <w:p w:rsidR="00B77D50" w:rsidRDefault="00B77D50" w:rsidP="00B77D50"/>
    <w:p w:rsidR="00B77D50" w:rsidRDefault="00B77D50" w:rsidP="00B77D50"/>
    <w:tbl>
      <w:tblPr>
        <w:tblW w:w="0" w:type="auto"/>
        <w:jc w:val="center"/>
        <w:tblLayout w:type="fixed"/>
        <w:tblLook w:val="0000"/>
      </w:tblPr>
      <w:tblGrid>
        <w:gridCol w:w="1566"/>
        <w:gridCol w:w="614"/>
        <w:gridCol w:w="1016"/>
        <w:gridCol w:w="1016"/>
        <w:gridCol w:w="1016"/>
        <w:gridCol w:w="1016"/>
        <w:gridCol w:w="1281"/>
      </w:tblGrid>
      <w:tr w:rsidR="00B77D50" w:rsidTr="00DE0576">
        <w:tblPrEx>
          <w:tblCellMar>
            <w:top w:w="0" w:type="dxa"/>
            <w:bottom w:w="0" w:type="dxa"/>
          </w:tblCellMar>
        </w:tblPrEx>
        <w:trPr>
          <w:jc w:val="center"/>
        </w:trPr>
        <w:tc>
          <w:tcPr>
            <w:tcW w:w="1566" w:type="dxa"/>
            <w:tcBorders>
              <w:top w:val="single" w:sz="4" w:space="0" w:color="auto"/>
              <w:bottom w:val="single" w:sz="4" w:space="0" w:color="auto"/>
            </w:tcBorders>
          </w:tcPr>
          <w:p w:rsidR="00B77D50" w:rsidRDefault="00B77D50" w:rsidP="00DE0576">
            <w:pPr>
              <w:pStyle w:val="Ttulo2"/>
              <w:ind w:left="-10" w:right="-84"/>
              <w:rPr>
                <w:b w:val="0"/>
                <w:i/>
              </w:rPr>
            </w:pPr>
            <w:r>
              <w:rPr>
                <w:b w:val="0"/>
                <w:i/>
              </w:rPr>
              <w:t>Compound Name</w:t>
            </w:r>
          </w:p>
        </w:tc>
        <w:tc>
          <w:tcPr>
            <w:tcW w:w="614" w:type="dxa"/>
            <w:tcBorders>
              <w:top w:val="single" w:sz="4" w:space="0" w:color="auto"/>
              <w:bottom w:val="single" w:sz="4" w:space="0" w:color="auto"/>
            </w:tcBorders>
          </w:tcPr>
          <w:p w:rsidR="00B77D50" w:rsidRDefault="00B77D50" w:rsidP="00DE0576">
            <w:pPr>
              <w:ind w:left="-10" w:right="-84"/>
              <w:jc w:val="center"/>
            </w:pPr>
          </w:p>
          <w:p w:rsidR="00B77D50" w:rsidRDefault="00B77D50" w:rsidP="00DE0576">
            <w:pPr>
              <w:ind w:left="-10" w:right="-84"/>
              <w:jc w:val="center"/>
            </w:pPr>
            <w:r>
              <w:t>Peak</w:t>
            </w:r>
          </w:p>
        </w:tc>
        <w:tc>
          <w:tcPr>
            <w:tcW w:w="1016" w:type="dxa"/>
            <w:tcBorders>
              <w:top w:val="single" w:sz="4" w:space="0" w:color="auto"/>
              <w:bottom w:val="single" w:sz="4" w:space="0" w:color="auto"/>
            </w:tcBorders>
          </w:tcPr>
          <w:p w:rsidR="00B77D50" w:rsidRDefault="00B77D50" w:rsidP="00DE0576">
            <w:pPr>
              <w:jc w:val="center"/>
            </w:pPr>
          </w:p>
          <w:p w:rsidR="00B77D50" w:rsidRDefault="00B77D50" w:rsidP="00DE0576">
            <w:pPr>
              <w:jc w:val="center"/>
            </w:pPr>
            <w:r>
              <w:t>Slope</w:t>
            </w:r>
          </w:p>
        </w:tc>
        <w:tc>
          <w:tcPr>
            <w:tcW w:w="1016" w:type="dxa"/>
            <w:tcBorders>
              <w:top w:val="single" w:sz="4" w:space="0" w:color="auto"/>
              <w:bottom w:val="single" w:sz="4" w:space="0" w:color="auto"/>
            </w:tcBorders>
          </w:tcPr>
          <w:p w:rsidR="00B77D50" w:rsidRDefault="00B77D50" w:rsidP="00DE0576">
            <w:pPr>
              <w:ind w:left="-81" w:right="-109"/>
              <w:jc w:val="center"/>
            </w:pPr>
          </w:p>
          <w:p w:rsidR="00B77D50" w:rsidRDefault="00B77D50" w:rsidP="00DE0576">
            <w:pPr>
              <w:ind w:left="-81" w:right="-109"/>
              <w:jc w:val="center"/>
            </w:pPr>
            <w:r>
              <w:t>Intercept</w:t>
            </w:r>
          </w:p>
        </w:tc>
        <w:tc>
          <w:tcPr>
            <w:tcW w:w="1016" w:type="dxa"/>
            <w:tcBorders>
              <w:top w:val="single" w:sz="4" w:space="0" w:color="auto"/>
              <w:bottom w:val="single" w:sz="4" w:space="0" w:color="auto"/>
            </w:tcBorders>
          </w:tcPr>
          <w:p w:rsidR="00B77D50" w:rsidRDefault="00B77D50" w:rsidP="00DE0576">
            <w:pPr>
              <w:jc w:val="center"/>
            </w:pPr>
          </w:p>
          <w:p w:rsidR="00B77D50" w:rsidRDefault="00B77D50" w:rsidP="00DE0576">
            <w:pPr>
              <w:jc w:val="center"/>
            </w:pPr>
            <w:r>
              <w:t>r</w:t>
            </w:r>
            <w:r>
              <w:rPr>
                <w:vertAlign w:val="superscript"/>
              </w:rPr>
              <w:t>2</w:t>
            </w:r>
          </w:p>
        </w:tc>
        <w:tc>
          <w:tcPr>
            <w:tcW w:w="1016" w:type="dxa"/>
            <w:tcBorders>
              <w:top w:val="single" w:sz="4" w:space="0" w:color="auto"/>
              <w:bottom w:val="single" w:sz="4" w:space="0" w:color="auto"/>
            </w:tcBorders>
          </w:tcPr>
          <w:p w:rsidR="00B77D50" w:rsidRDefault="00B77D50" w:rsidP="00DE0576">
            <w:pPr>
              <w:jc w:val="center"/>
            </w:pPr>
          </w:p>
          <w:p w:rsidR="00B77D50" w:rsidRDefault="00B77D50" w:rsidP="00DE0576">
            <w:pPr>
              <w:jc w:val="center"/>
            </w:pPr>
            <w:r>
              <w:t>K’(M</w:t>
            </w:r>
            <w:r>
              <w:rPr>
                <w:vertAlign w:val="superscript"/>
              </w:rPr>
              <w:t>-1</w:t>
            </w:r>
            <w:r>
              <w:t>)</w:t>
            </w:r>
          </w:p>
        </w:tc>
        <w:tc>
          <w:tcPr>
            <w:tcW w:w="1281" w:type="dxa"/>
            <w:tcBorders>
              <w:top w:val="single" w:sz="4" w:space="0" w:color="auto"/>
              <w:bottom w:val="single" w:sz="4" w:space="0" w:color="auto"/>
            </w:tcBorders>
          </w:tcPr>
          <w:p w:rsidR="00B77D50" w:rsidRDefault="00B77D50" w:rsidP="00DE0576">
            <w:pPr>
              <w:jc w:val="center"/>
            </w:pPr>
            <w:r>
              <w:sym w:font="Symbol" w:char="F061"/>
            </w:r>
          </w:p>
          <w:p w:rsidR="00B77D50" w:rsidRDefault="00B77D50" w:rsidP="00DE0576">
            <w:pPr>
              <w:jc w:val="center"/>
            </w:pPr>
            <w:r>
              <w:t>(K</w:t>
            </w:r>
            <w:r>
              <w:rPr>
                <w:vertAlign w:val="subscript"/>
              </w:rPr>
              <w:t>2</w:t>
            </w:r>
            <w:r>
              <w:t>/K</w:t>
            </w:r>
            <w:r>
              <w:rPr>
                <w:vertAlign w:val="subscript"/>
              </w:rPr>
              <w:t>1</w:t>
            </w:r>
            <w:r>
              <w:t>)</w:t>
            </w:r>
          </w:p>
        </w:tc>
      </w:tr>
      <w:tr w:rsidR="00B77D50" w:rsidTr="00DE0576">
        <w:tblPrEx>
          <w:tblCellMar>
            <w:top w:w="0" w:type="dxa"/>
            <w:bottom w:w="0" w:type="dxa"/>
          </w:tblCellMar>
        </w:tblPrEx>
        <w:trPr>
          <w:jc w:val="center"/>
        </w:trPr>
        <w:tc>
          <w:tcPr>
            <w:tcW w:w="1566" w:type="dxa"/>
          </w:tcPr>
          <w:p w:rsidR="00B77D50" w:rsidRDefault="00B77D50" w:rsidP="00DE0576">
            <w:pPr>
              <w:ind w:left="-10" w:right="-84"/>
              <w:jc w:val="center"/>
            </w:pPr>
            <w:r>
              <w:t>Temazepam</w:t>
            </w:r>
          </w:p>
        </w:tc>
        <w:tc>
          <w:tcPr>
            <w:tcW w:w="614" w:type="dxa"/>
          </w:tcPr>
          <w:p w:rsidR="00B77D50" w:rsidRDefault="00B77D50" w:rsidP="00DE0576">
            <w:pPr>
              <w:ind w:left="-10" w:right="-84"/>
              <w:jc w:val="center"/>
            </w:pPr>
            <w:r>
              <w:t>1</w:t>
            </w:r>
          </w:p>
          <w:p w:rsidR="00B77D50" w:rsidRDefault="00B77D50" w:rsidP="00DE0576">
            <w:pPr>
              <w:ind w:left="-10" w:right="-84"/>
              <w:jc w:val="center"/>
            </w:pPr>
            <w:r>
              <w:t>2</w:t>
            </w:r>
          </w:p>
        </w:tc>
        <w:tc>
          <w:tcPr>
            <w:tcW w:w="1016" w:type="dxa"/>
          </w:tcPr>
          <w:p w:rsidR="00B77D50" w:rsidRDefault="00B77D50" w:rsidP="00DE0576">
            <w:pPr>
              <w:jc w:val="center"/>
            </w:pPr>
            <w:r>
              <w:t>220.2</w:t>
            </w:r>
          </w:p>
          <w:p w:rsidR="00B77D50" w:rsidRDefault="00B77D50" w:rsidP="00DE0576">
            <w:pPr>
              <w:jc w:val="center"/>
            </w:pPr>
            <w:r>
              <w:t>168.7</w:t>
            </w:r>
          </w:p>
        </w:tc>
        <w:tc>
          <w:tcPr>
            <w:tcW w:w="1016" w:type="dxa"/>
          </w:tcPr>
          <w:p w:rsidR="00B77D50" w:rsidRDefault="00B77D50" w:rsidP="00DE0576">
            <w:pPr>
              <w:ind w:left="-81" w:right="-109"/>
              <w:jc w:val="center"/>
            </w:pPr>
            <w:r>
              <w:t>6117.0</w:t>
            </w:r>
          </w:p>
          <w:p w:rsidR="00B77D50" w:rsidRDefault="00B77D50" w:rsidP="00DE0576">
            <w:pPr>
              <w:ind w:left="-81" w:right="-109"/>
              <w:jc w:val="center"/>
            </w:pPr>
            <w:r>
              <w:t>4943.1</w:t>
            </w:r>
          </w:p>
        </w:tc>
        <w:tc>
          <w:tcPr>
            <w:tcW w:w="1016" w:type="dxa"/>
          </w:tcPr>
          <w:p w:rsidR="00B77D50" w:rsidRDefault="00B77D50" w:rsidP="00DE0576">
            <w:pPr>
              <w:jc w:val="center"/>
            </w:pPr>
            <w:r>
              <w:t>0.9922</w:t>
            </w:r>
          </w:p>
          <w:p w:rsidR="00B77D50" w:rsidRDefault="00B77D50" w:rsidP="00DE0576">
            <w:pPr>
              <w:jc w:val="center"/>
            </w:pPr>
            <w:r>
              <w:t>0.9938</w:t>
            </w:r>
          </w:p>
        </w:tc>
        <w:tc>
          <w:tcPr>
            <w:tcW w:w="1016" w:type="dxa"/>
          </w:tcPr>
          <w:p w:rsidR="00B77D50" w:rsidRDefault="00B77D50" w:rsidP="00DE0576">
            <w:pPr>
              <w:jc w:val="center"/>
            </w:pPr>
            <w:r>
              <w:t>27.78</w:t>
            </w:r>
          </w:p>
          <w:p w:rsidR="00B77D50" w:rsidRDefault="00B77D50" w:rsidP="00DE0576">
            <w:pPr>
              <w:jc w:val="center"/>
            </w:pPr>
            <w:r>
              <w:t>29.35</w:t>
            </w:r>
          </w:p>
        </w:tc>
        <w:tc>
          <w:tcPr>
            <w:tcW w:w="1281" w:type="dxa"/>
          </w:tcPr>
          <w:p w:rsidR="00B77D50" w:rsidRDefault="00B77D50" w:rsidP="00DE0576">
            <w:pPr>
              <w:jc w:val="center"/>
            </w:pPr>
            <w:r>
              <w:t>1.06</w:t>
            </w:r>
          </w:p>
        </w:tc>
      </w:tr>
      <w:tr w:rsidR="00B77D50" w:rsidTr="00DE0576">
        <w:tblPrEx>
          <w:tblCellMar>
            <w:top w:w="0" w:type="dxa"/>
            <w:bottom w:w="0" w:type="dxa"/>
          </w:tblCellMar>
        </w:tblPrEx>
        <w:trPr>
          <w:jc w:val="center"/>
        </w:trPr>
        <w:tc>
          <w:tcPr>
            <w:tcW w:w="1566" w:type="dxa"/>
          </w:tcPr>
          <w:p w:rsidR="00B77D50" w:rsidRDefault="00B77D50" w:rsidP="00DE0576">
            <w:pPr>
              <w:ind w:left="-10" w:right="-84"/>
              <w:jc w:val="center"/>
            </w:pPr>
            <w:r>
              <w:t>Lorazepam</w:t>
            </w:r>
          </w:p>
        </w:tc>
        <w:tc>
          <w:tcPr>
            <w:tcW w:w="614" w:type="dxa"/>
          </w:tcPr>
          <w:p w:rsidR="00B77D50" w:rsidRDefault="00B77D50" w:rsidP="00DE0576">
            <w:pPr>
              <w:ind w:left="-10" w:right="-84"/>
              <w:jc w:val="center"/>
            </w:pPr>
            <w:r>
              <w:t>1</w:t>
            </w:r>
          </w:p>
          <w:p w:rsidR="00B77D50" w:rsidRDefault="00B77D50" w:rsidP="00DE0576">
            <w:pPr>
              <w:ind w:left="-10" w:right="-84"/>
              <w:jc w:val="center"/>
            </w:pPr>
            <w:r>
              <w:t>2</w:t>
            </w:r>
          </w:p>
        </w:tc>
        <w:tc>
          <w:tcPr>
            <w:tcW w:w="1016" w:type="dxa"/>
          </w:tcPr>
          <w:p w:rsidR="00B77D50" w:rsidRDefault="00B77D50" w:rsidP="00DE0576">
            <w:pPr>
              <w:jc w:val="center"/>
            </w:pPr>
            <w:r>
              <w:t>117.0</w:t>
            </w:r>
          </w:p>
          <w:p w:rsidR="00B77D50" w:rsidRDefault="00B77D50" w:rsidP="00DE0576">
            <w:pPr>
              <w:jc w:val="center"/>
            </w:pPr>
            <w:r>
              <w:t>103.4</w:t>
            </w:r>
          </w:p>
        </w:tc>
        <w:tc>
          <w:tcPr>
            <w:tcW w:w="1016" w:type="dxa"/>
          </w:tcPr>
          <w:p w:rsidR="00B77D50" w:rsidRDefault="00B77D50" w:rsidP="00DE0576">
            <w:pPr>
              <w:ind w:left="-81" w:right="-109"/>
              <w:jc w:val="center"/>
            </w:pPr>
            <w:r>
              <w:t>4606.9</w:t>
            </w:r>
          </w:p>
          <w:p w:rsidR="00B77D50" w:rsidRDefault="00B77D50" w:rsidP="00DE0576">
            <w:pPr>
              <w:ind w:left="-81" w:right="-109"/>
              <w:jc w:val="center"/>
            </w:pPr>
            <w:r>
              <w:t>4249.5</w:t>
            </w:r>
          </w:p>
        </w:tc>
        <w:tc>
          <w:tcPr>
            <w:tcW w:w="1016" w:type="dxa"/>
          </w:tcPr>
          <w:p w:rsidR="00B77D50" w:rsidRDefault="00B77D50" w:rsidP="00DE0576">
            <w:pPr>
              <w:jc w:val="center"/>
            </w:pPr>
            <w:r>
              <w:t>0.9929</w:t>
            </w:r>
          </w:p>
          <w:p w:rsidR="00B77D50" w:rsidRDefault="00B77D50" w:rsidP="00DE0576">
            <w:pPr>
              <w:jc w:val="center"/>
            </w:pPr>
            <w:r>
              <w:t>0.9925</w:t>
            </w:r>
          </w:p>
        </w:tc>
        <w:tc>
          <w:tcPr>
            <w:tcW w:w="1016" w:type="dxa"/>
          </w:tcPr>
          <w:p w:rsidR="00B77D50" w:rsidRDefault="00B77D50" w:rsidP="00DE0576">
            <w:pPr>
              <w:jc w:val="center"/>
            </w:pPr>
            <w:r>
              <w:t>39.39</w:t>
            </w:r>
          </w:p>
          <w:p w:rsidR="00B77D50" w:rsidRDefault="00B77D50" w:rsidP="00DE0576">
            <w:pPr>
              <w:jc w:val="center"/>
            </w:pPr>
            <w:r>
              <w:t>41.09</w:t>
            </w:r>
          </w:p>
        </w:tc>
        <w:tc>
          <w:tcPr>
            <w:tcW w:w="1281" w:type="dxa"/>
          </w:tcPr>
          <w:p w:rsidR="00B77D50" w:rsidRDefault="00B77D50" w:rsidP="00DE0576">
            <w:pPr>
              <w:jc w:val="center"/>
            </w:pPr>
            <w:r>
              <w:t>1.04</w:t>
            </w:r>
          </w:p>
        </w:tc>
      </w:tr>
      <w:tr w:rsidR="00B77D50" w:rsidTr="00DE0576">
        <w:tblPrEx>
          <w:tblCellMar>
            <w:top w:w="0" w:type="dxa"/>
            <w:bottom w:w="0" w:type="dxa"/>
          </w:tblCellMar>
        </w:tblPrEx>
        <w:trPr>
          <w:jc w:val="center"/>
        </w:trPr>
        <w:tc>
          <w:tcPr>
            <w:tcW w:w="1566" w:type="dxa"/>
          </w:tcPr>
          <w:p w:rsidR="00B77D50" w:rsidRDefault="00B77D50" w:rsidP="00DE0576">
            <w:pPr>
              <w:ind w:left="-10" w:right="-84"/>
              <w:jc w:val="center"/>
            </w:pPr>
            <w:r>
              <w:t>Oxazepam</w:t>
            </w:r>
          </w:p>
        </w:tc>
        <w:tc>
          <w:tcPr>
            <w:tcW w:w="614" w:type="dxa"/>
          </w:tcPr>
          <w:p w:rsidR="00B77D50" w:rsidRDefault="00B77D50" w:rsidP="00DE0576">
            <w:pPr>
              <w:ind w:left="-10" w:right="-84"/>
              <w:jc w:val="center"/>
            </w:pPr>
            <w:r>
              <w:t>1</w:t>
            </w:r>
          </w:p>
          <w:p w:rsidR="00B77D50" w:rsidRDefault="00B77D50" w:rsidP="00DE0576">
            <w:pPr>
              <w:ind w:left="-10" w:right="-84"/>
              <w:jc w:val="center"/>
            </w:pPr>
            <w:r>
              <w:t>2</w:t>
            </w:r>
          </w:p>
        </w:tc>
        <w:tc>
          <w:tcPr>
            <w:tcW w:w="1016" w:type="dxa"/>
          </w:tcPr>
          <w:p w:rsidR="00B77D50" w:rsidRDefault="00B77D50" w:rsidP="00DE0576">
            <w:pPr>
              <w:jc w:val="center"/>
            </w:pPr>
            <w:r>
              <w:t>137.1</w:t>
            </w:r>
          </w:p>
          <w:p w:rsidR="00B77D50" w:rsidRDefault="00B77D50" w:rsidP="00DE0576">
            <w:pPr>
              <w:jc w:val="center"/>
            </w:pPr>
            <w:r>
              <w:t>51.0.</w:t>
            </w:r>
          </w:p>
        </w:tc>
        <w:tc>
          <w:tcPr>
            <w:tcW w:w="1016" w:type="dxa"/>
          </w:tcPr>
          <w:p w:rsidR="00B77D50" w:rsidRDefault="00B77D50" w:rsidP="00DE0576">
            <w:pPr>
              <w:ind w:left="-81" w:right="-109"/>
              <w:jc w:val="center"/>
            </w:pPr>
            <w:r>
              <w:t>5393.3</w:t>
            </w:r>
          </w:p>
          <w:p w:rsidR="00B77D50" w:rsidRDefault="00B77D50" w:rsidP="00DE0576">
            <w:pPr>
              <w:ind w:left="-81" w:right="-109"/>
              <w:jc w:val="center"/>
            </w:pPr>
            <w:r>
              <w:t>4610.0</w:t>
            </w:r>
          </w:p>
        </w:tc>
        <w:tc>
          <w:tcPr>
            <w:tcW w:w="1016" w:type="dxa"/>
          </w:tcPr>
          <w:p w:rsidR="00B77D50" w:rsidRDefault="00B77D50" w:rsidP="00DE0576">
            <w:pPr>
              <w:jc w:val="center"/>
            </w:pPr>
            <w:r>
              <w:t>0.9878</w:t>
            </w:r>
          </w:p>
          <w:p w:rsidR="00B77D50" w:rsidRDefault="00B77D50" w:rsidP="00DE0576">
            <w:pPr>
              <w:jc w:val="center"/>
            </w:pPr>
            <w:r>
              <w:t>0.9882</w:t>
            </w:r>
          </w:p>
        </w:tc>
        <w:tc>
          <w:tcPr>
            <w:tcW w:w="1016" w:type="dxa"/>
          </w:tcPr>
          <w:p w:rsidR="00B77D50" w:rsidRDefault="00B77D50" w:rsidP="00DE0576">
            <w:pPr>
              <w:jc w:val="center"/>
            </w:pPr>
            <w:r>
              <w:t>39.34</w:t>
            </w:r>
          </w:p>
          <w:p w:rsidR="00B77D50" w:rsidRDefault="00B77D50" w:rsidP="00DE0576">
            <w:pPr>
              <w:jc w:val="center"/>
            </w:pPr>
            <w:r>
              <w:t>90.40</w:t>
            </w:r>
          </w:p>
        </w:tc>
        <w:tc>
          <w:tcPr>
            <w:tcW w:w="1281" w:type="dxa"/>
          </w:tcPr>
          <w:p w:rsidR="00B77D50" w:rsidRDefault="00B77D50" w:rsidP="00DE0576">
            <w:pPr>
              <w:jc w:val="center"/>
            </w:pPr>
            <w:r>
              <w:t>2.30</w:t>
            </w:r>
          </w:p>
        </w:tc>
      </w:tr>
      <w:tr w:rsidR="00B77D50" w:rsidTr="00DE0576">
        <w:tblPrEx>
          <w:tblCellMar>
            <w:top w:w="0" w:type="dxa"/>
            <w:bottom w:w="0" w:type="dxa"/>
          </w:tblCellMar>
        </w:tblPrEx>
        <w:trPr>
          <w:jc w:val="center"/>
        </w:trPr>
        <w:tc>
          <w:tcPr>
            <w:tcW w:w="1566" w:type="dxa"/>
            <w:tcBorders>
              <w:bottom w:val="single" w:sz="4" w:space="0" w:color="auto"/>
            </w:tcBorders>
          </w:tcPr>
          <w:p w:rsidR="00B77D50" w:rsidRDefault="00B77D50" w:rsidP="00DE0576">
            <w:pPr>
              <w:ind w:left="-10" w:right="-84"/>
              <w:jc w:val="center"/>
            </w:pPr>
            <w:r>
              <w:t>Lormetazepam</w:t>
            </w:r>
          </w:p>
        </w:tc>
        <w:tc>
          <w:tcPr>
            <w:tcW w:w="614" w:type="dxa"/>
            <w:tcBorders>
              <w:bottom w:val="single" w:sz="4" w:space="0" w:color="auto"/>
            </w:tcBorders>
          </w:tcPr>
          <w:p w:rsidR="00B77D50" w:rsidRDefault="00B77D50" w:rsidP="00DE0576">
            <w:pPr>
              <w:ind w:left="-10" w:right="-84"/>
              <w:jc w:val="center"/>
            </w:pPr>
            <w:r>
              <w:t>1</w:t>
            </w:r>
          </w:p>
          <w:p w:rsidR="00B77D50" w:rsidRDefault="00B77D50" w:rsidP="00DE0576">
            <w:pPr>
              <w:ind w:left="-10" w:right="-84"/>
              <w:jc w:val="center"/>
            </w:pPr>
            <w:r>
              <w:t>2</w:t>
            </w:r>
          </w:p>
        </w:tc>
        <w:tc>
          <w:tcPr>
            <w:tcW w:w="1016" w:type="dxa"/>
            <w:tcBorders>
              <w:bottom w:val="single" w:sz="4" w:space="0" w:color="auto"/>
            </w:tcBorders>
          </w:tcPr>
          <w:p w:rsidR="00B77D50" w:rsidRDefault="00B77D50" w:rsidP="00DE0576">
            <w:pPr>
              <w:jc w:val="center"/>
            </w:pPr>
            <w:r>
              <w:t>190.6</w:t>
            </w:r>
          </w:p>
          <w:p w:rsidR="00B77D50" w:rsidRDefault="00B77D50" w:rsidP="00DE0576">
            <w:pPr>
              <w:jc w:val="center"/>
            </w:pPr>
            <w:r>
              <w:t>177.0</w:t>
            </w:r>
          </w:p>
        </w:tc>
        <w:tc>
          <w:tcPr>
            <w:tcW w:w="1016" w:type="dxa"/>
            <w:tcBorders>
              <w:bottom w:val="single" w:sz="4" w:space="0" w:color="auto"/>
            </w:tcBorders>
          </w:tcPr>
          <w:p w:rsidR="00B77D50" w:rsidRDefault="00B77D50" w:rsidP="00DE0576">
            <w:pPr>
              <w:ind w:left="-81" w:right="-109"/>
              <w:jc w:val="center"/>
            </w:pPr>
            <w:r>
              <w:t>6910.9</w:t>
            </w:r>
          </w:p>
          <w:p w:rsidR="00B77D50" w:rsidRDefault="00B77D50" w:rsidP="00DE0576">
            <w:pPr>
              <w:ind w:left="-81" w:right="-109"/>
              <w:jc w:val="center"/>
            </w:pPr>
            <w:r>
              <w:t>6791.0</w:t>
            </w:r>
          </w:p>
        </w:tc>
        <w:tc>
          <w:tcPr>
            <w:tcW w:w="1016" w:type="dxa"/>
            <w:tcBorders>
              <w:bottom w:val="single" w:sz="4" w:space="0" w:color="auto"/>
            </w:tcBorders>
          </w:tcPr>
          <w:p w:rsidR="00B77D50" w:rsidRDefault="00B77D50" w:rsidP="00DE0576">
            <w:pPr>
              <w:jc w:val="center"/>
            </w:pPr>
            <w:r>
              <w:t>0.9981</w:t>
            </w:r>
          </w:p>
          <w:p w:rsidR="00B77D50" w:rsidRDefault="00B77D50" w:rsidP="00DE0576">
            <w:pPr>
              <w:jc w:val="center"/>
            </w:pPr>
            <w:r>
              <w:t>0.9936</w:t>
            </w:r>
          </w:p>
        </w:tc>
        <w:tc>
          <w:tcPr>
            <w:tcW w:w="1016" w:type="dxa"/>
            <w:tcBorders>
              <w:bottom w:val="single" w:sz="4" w:space="0" w:color="auto"/>
            </w:tcBorders>
          </w:tcPr>
          <w:p w:rsidR="00B77D50" w:rsidRDefault="00B77D50" w:rsidP="00DE0576">
            <w:pPr>
              <w:jc w:val="center"/>
            </w:pPr>
            <w:r>
              <w:t>37.66</w:t>
            </w:r>
          </w:p>
          <w:p w:rsidR="00B77D50" w:rsidRDefault="00B77D50" w:rsidP="00DE0576">
            <w:pPr>
              <w:jc w:val="center"/>
            </w:pPr>
            <w:r>
              <w:t>38.38</w:t>
            </w:r>
          </w:p>
        </w:tc>
        <w:tc>
          <w:tcPr>
            <w:tcW w:w="1281" w:type="dxa"/>
            <w:tcBorders>
              <w:bottom w:val="single" w:sz="4" w:space="0" w:color="auto"/>
            </w:tcBorders>
          </w:tcPr>
          <w:p w:rsidR="00B77D50" w:rsidRDefault="00B77D50" w:rsidP="00DE0576">
            <w:pPr>
              <w:jc w:val="center"/>
            </w:pPr>
            <w:r>
              <w:t>1.02</w:t>
            </w:r>
          </w:p>
        </w:tc>
      </w:tr>
    </w:tbl>
    <w:p w:rsidR="00B77D50" w:rsidRDefault="00B77D50" w:rsidP="00B77D50">
      <w:r>
        <w:tab/>
        <w:t>K’ = apparent equilibrium constant</w:t>
      </w:r>
      <w:r>
        <w:tab/>
      </w:r>
      <w:r>
        <w:tab/>
      </w:r>
      <w:r>
        <w:sym w:font="Symbol" w:char="F061"/>
      </w:r>
      <w:r>
        <w:t xml:space="preserve"> = selectivity</w:t>
      </w:r>
    </w:p>
    <w:p w:rsidR="00B77D50" w:rsidRDefault="00B77D50" w:rsidP="00B77D50"/>
    <w:p w:rsidR="00B77D50" w:rsidRDefault="00B77D50" w:rsidP="00B77D50"/>
    <w:p w:rsidR="00B77D50" w:rsidRDefault="00B77D50" w:rsidP="00B77D50"/>
    <w:p w:rsidR="00B77D50" w:rsidRDefault="00B77D50" w:rsidP="00B77D50">
      <w:pPr>
        <w:ind w:left="426"/>
      </w:pPr>
      <w:r>
        <w:t>Table 5 Population distribution of the conformations obtained for each enantiomer</w:t>
      </w:r>
    </w:p>
    <w:p w:rsidR="00B77D50" w:rsidRDefault="00B77D50" w:rsidP="00B77D5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842"/>
        <w:gridCol w:w="1843"/>
        <w:gridCol w:w="1843"/>
      </w:tblGrid>
      <w:tr w:rsidR="00B77D50" w:rsidTr="00DE0576">
        <w:tblPrEx>
          <w:tblCellMar>
            <w:top w:w="0" w:type="dxa"/>
            <w:bottom w:w="0" w:type="dxa"/>
          </w:tblCellMar>
        </w:tblPrEx>
        <w:trPr>
          <w:jc w:val="center"/>
        </w:trPr>
        <w:tc>
          <w:tcPr>
            <w:tcW w:w="1630" w:type="dxa"/>
          </w:tcPr>
          <w:p w:rsidR="00B77D50" w:rsidRDefault="00B77D50" w:rsidP="00DE0576">
            <w:pPr>
              <w:jc w:val="center"/>
            </w:pPr>
            <w:r>
              <w:t>Molecule</w:t>
            </w:r>
          </w:p>
        </w:tc>
        <w:tc>
          <w:tcPr>
            <w:tcW w:w="1842" w:type="dxa"/>
          </w:tcPr>
          <w:p w:rsidR="00B77D50" w:rsidRDefault="00B77D50" w:rsidP="00DE0576">
            <w:pPr>
              <w:jc w:val="center"/>
            </w:pPr>
            <w:r>
              <w:t>Conformation 1</w:t>
            </w:r>
          </w:p>
        </w:tc>
        <w:tc>
          <w:tcPr>
            <w:tcW w:w="1843" w:type="dxa"/>
          </w:tcPr>
          <w:p w:rsidR="00B77D50" w:rsidRDefault="00B77D50" w:rsidP="00DE0576">
            <w:pPr>
              <w:jc w:val="center"/>
            </w:pPr>
            <w:r>
              <w:t>Conformation 2</w:t>
            </w:r>
          </w:p>
        </w:tc>
        <w:tc>
          <w:tcPr>
            <w:tcW w:w="1843" w:type="dxa"/>
          </w:tcPr>
          <w:p w:rsidR="00B77D50" w:rsidRDefault="00B77D50" w:rsidP="00DE0576">
            <w:pPr>
              <w:jc w:val="center"/>
            </w:pPr>
            <w:r>
              <w:t>Conformation 3</w:t>
            </w:r>
          </w:p>
        </w:tc>
      </w:tr>
      <w:tr w:rsidR="00B77D50" w:rsidTr="00DE0576">
        <w:tblPrEx>
          <w:tblCellMar>
            <w:top w:w="0" w:type="dxa"/>
            <w:bottom w:w="0" w:type="dxa"/>
          </w:tblCellMar>
        </w:tblPrEx>
        <w:trPr>
          <w:jc w:val="center"/>
        </w:trPr>
        <w:tc>
          <w:tcPr>
            <w:tcW w:w="1630" w:type="dxa"/>
          </w:tcPr>
          <w:p w:rsidR="00B77D50" w:rsidRDefault="00B77D50" w:rsidP="00DE0576">
            <w:pPr>
              <w:jc w:val="center"/>
            </w:pPr>
            <w:r>
              <w:t>oxazepam</w:t>
            </w:r>
          </w:p>
        </w:tc>
        <w:tc>
          <w:tcPr>
            <w:tcW w:w="1842" w:type="dxa"/>
          </w:tcPr>
          <w:p w:rsidR="00B77D50" w:rsidRDefault="00B77D50" w:rsidP="00DE0576">
            <w:pPr>
              <w:jc w:val="center"/>
            </w:pPr>
            <w:r>
              <w:t>76.2550</w:t>
            </w:r>
          </w:p>
        </w:tc>
        <w:tc>
          <w:tcPr>
            <w:tcW w:w="1843" w:type="dxa"/>
          </w:tcPr>
          <w:p w:rsidR="00B77D50" w:rsidRDefault="00B77D50" w:rsidP="00DE0576">
            <w:pPr>
              <w:jc w:val="center"/>
            </w:pPr>
            <w:r>
              <w:t>19.9043</w:t>
            </w:r>
          </w:p>
        </w:tc>
        <w:tc>
          <w:tcPr>
            <w:tcW w:w="1843" w:type="dxa"/>
          </w:tcPr>
          <w:p w:rsidR="00B77D50" w:rsidRDefault="00B77D50" w:rsidP="00DE0576">
            <w:pPr>
              <w:jc w:val="center"/>
              <w:rPr>
                <w:b/>
              </w:rPr>
            </w:pPr>
            <w:r>
              <w:rPr>
                <w:b/>
              </w:rPr>
              <w:t>-</w:t>
            </w:r>
          </w:p>
        </w:tc>
      </w:tr>
      <w:tr w:rsidR="00B77D50" w:rsidTr="00DE0576">
        <w:tblPrEx>
          <w:tblCellMar>
            <w:top w:w="0" w:type="dxa"/>
            <w:bottom w:w="0" w:type="dxa"/>
          </w:tblCellMar>
        </w:tblPrEx>
        <w:trPr>
          <w:jc w:val="center"/>
        </w:trPr>
        <w:tc>
          <w:tcPr>
            <w:tcW w:w="1630" w:type="dxa"/>
          </w:tcPr>
          <w:p w:rsidR="00B77D50" w:rsidRDefault="00B77D50" w:rsidP="00DE0576">
            <w:pPr>
              <w:jc w:val="center"/>
            </w:pPr>
            <w:r>
              <w:t>temazepam</w:t>
            </w:r>
          </w:p>
        </w:tc>
        <w:tc>
          <w:tcPr>
            <w:tcW w:w="1842" w:type="dxa"/>
          </w:tcPr>
          <w:p w:rsidR="00B77D50" w:rsidRDefault="00B77D50" w:rsidP="00DE0576">
            <w:pPr>
              <w:jc w:val="center"/>
            </w:pPr>
            <w:r>
              <w:t>85.1339</w:t>
            </w:r>
          </w:p>
        </w:tc>
        <w:tc>
          <w:tcPr>
            <w:tcW w:w="1843" w:type="dxa"/>
          </w:tcPr>
          <w:p w:rsidR="00B77D50" w:rsidRDefault="00B77D50" w:rsidP="00DE0576">
            <w:pPr>
              <w:jc w:val="center"/>
            </w:pPr>
            <w:r>
              <w:t>12.7941</w:t>
            </w:r>
          </w:p>
        </w:tc>
        <w:tc>
          <w:tcPr>
            <w:tcW w:w="1843" w:type="dxa"/>
          </w:tcPr>
          <w:p w:rsidR="00B77D50" w:rsidRDefault="00B77D50" w:rsidP="00DE0576">
            <w:pPr>
              <w:jc w:val="center"/>
              <w:rPr>
                <w:b/>
              </w:rPr>
            </w:pPr>
            <w:r>
              <w:rPr>
                <w:b/>
              </w:rPr>
              <w:t>-</w:t>
            </w:r>
          </w:p>
        </w:tc>
      </w:tr>
      <w:tr w:rsidR="00B77D50" w:rsidTr="00DE0576">
        <w:tblPrEx>
          <w:tblCellMar>
            <w:top w:w="0" w:type="dxa"/>
            <w:bottom w:w="0" w:type="dxa"/>
          </w:tblCellMar>
        </w:tblPrEx>
        <w:trPr>
          <w:jc w:val="center"/>
        </w:trPr>
        <w:tc>
          <w:tcPr>
            <w:tcW w:w="1630" w:type="dxa"/>
          </w:tcPr>
          <w:p w:rsidR="00B77D50" w:rsidRDefault="00B77D50" w:rsidP="00DE0576">
            <w:pPr>
              <w:jc w:val="center"/>
            </w:pPr>
            <w:r>
              <w:t>lorazepam</w:t>
            </w:r>
          </w:p>
        </w:tc>
        <w:tc>
          <w:tcPr>
            <w:tcW w:w="1842" w:type="dxa"/>
          </w:tcPr>
          <w:p w:rsidR="00B77D50" w:rsidRDefault="00B77D50" w:rsidP="00DE0576">
            <w:pPr>
              <w:jc w:val="center"/>
            </w:pPr>
            <w:r>
              <w:t>36.2057</w:t>
            </w:r>
          </w:p>
          <w:p w:rsidR="00B77D50" w:rsidRDefault="00B77D50" w:rsidP="00DE0576">
            <w:pPr>
              <w:jc w:val="center"/>
            </w:pPr>
            <w:r>
              <w:t>39.3498</w:t>
            </w:r>
          </w:p>
        </w:tc>
        <w:tc>
          <w:tcPr>
            <w:tcW w:w="1843" w:type="dxa"/>
          </w:tcPr>
          <w:p w:rsidR="00B77D50" w:rsidRDefault="00B77D50" w:rsidP="00DE0576">
            <w:pPr>
              <w:jc w:val="center"/>
            </w:pPr>
            <w:r>
              <w:t>9.5907</w:t>
            </w:r>
          </w:p>
          <w:p w:rsidR="00B77D50" w:rsidRDefault="00B77D50" w:rsidP="00DE0576">
            <w:pPr>
              <w:jc w:val="center"/>
            </w:pPr>
            <w:r>
              <w:t>9.9167</w:t>
            </w:r>
          </w:p>
        </w:tc>
        <w:tc>
          <w:tcPr>
            <w:tcW w:w="1843" w:type="dxa"/>
          </w:tcPr>
          <w:p w:rsidR="00B77D50" w:rsidRDefault="00B77D50" w:rsidP="00DE0576">
            <w:pPr>
              <w:jc w:val="center"/>
              <w:rPr>
                <w:b/>
              </w:rPr>
            </w:pPr>
            <w:r>
              <w:rPr>
                <w:b/>
              </w:rPr>
              <w:t>-</w:t>
            </w:r>
          </w:p>
        </w:tc>
      </w:tr>
      <w:tr w:rsidR="00B77D50" w:rsidTr="00DE0576">
        <w:tblPrEx>
          <w:tblCellMar>
            <w:top w:w="0" w:type="dxa"/>
            <w:bottom w:w="0" w:type="dxa"/>
          </w:tblCellMar>
        </w:tblPrEx>
        <w:trPr>
          <w:jc w:val="center"/>
        </w:trPr>
        <w:tc>
          <w:tcPr>
            <w:tcW w:w="1630" w:type="dxa"/>
          </w:tcPr>
          <w:p w:rsidR="00B77D50" w:rsidRDefault="00B77D50" w:rsidP="00DE0576">
            <w:pPr>
              <w:jc w:val="center"/>
            </w:pPr>
            <w:r>
              <w:t>lormetazepam</w:t>
            </w:r>
          </w:p>
        </w:tc>
        <w:tc>
          <w:tcPr>
            <w:tcW w:w="1842" w:type="dxa"/>
          </w:tcPr>
          <w:p w:rsidR="00B77D50" w:rsidRDefault="00B77D50" w:rsidP="00DE0576">
            <w:pPr>
              <w:jc w:val="center"/>
            </w:pPr>
            <w:r>
              <w:t>42.4673</w:t>
            </w:r>
          </w:p>
          <w:p w:rsidR="00B77D50" w:rsidRDefault="00B77D50" w:rsidP="00DE0576">
            <w:pPr>
              <w:jc w:val="center"/>
            </w:pPr>
            <w:r>
              <w:t>42.7656</w:t>
            </w:r>
          </w:p>
        </w:tc>
        <w:tc>
          <w:tcPr>
            <w:tcW w:w="1843" w:type="dxa"/>
          </w:tcPr>
          <w:p w:rsidR="00B77D50" w:rsidRDefault="00B77D50" w:rsidP="00DE0576">
            <w:pPr>
              <w:jc w:val="center"/>
            </w:pPr>
            <w:r>
              <w:t>5.7715</w:t>
            </w:r>
          </w:p>
          <w:p w:rsidR="00B77D50" w:rsidRDefault="00B77D50" w:rsidP="00DE0576">
            <w:pPr>
              <w:jc w:val="center"/>
            </w:pPr>
            <w:r>
              <w:t>6.4393</w:t>
            </w:r>
          </w:p>
        </w:tc>
        <w:tc>
          <w:tcPr>
            <w:tcW w:w="1843" w:type="dxa"/>
          </w:tcPr>
          <w:p w:rsidR="00B77D50" w:rsidRDefault="00B77D50" w:rsidP="00DE0576">
            <w:pPr>
              <w:jc w:val="center"/>
              <w:rPr>
                <w:b/>
              </w:rPr>
            </w:pPr>
            <w:r>
              <w:rPr>
                <w:b/>
              </w:rPr>
              <w:t>-</w:t>
            </w:r>
          </w:p>
        </w:tc>
      </w:tr>
    </w:tbl>
    <w:p w:rsidR="00B77D50" w:rsidRDefault="00B77D50" w:rsidP="00B77D50"/>
    <w:p w:rsidR="00B77D50" w:rsidRDefault="00B77D50" w:rsidP="00B77D50"/>
    <w:p w:rsidR="00B77D50" w:rsidRDefault="00B77D50" w:rsidP="00B77D50"/>
    <w:p w:rsidR="00B77D50" w:rsidRDefault="00B77D50" w:rsidP="00B77D50">
      <w:pPr>
        <w:ind w:left="426"/>
        <w:jc w:val="center"/>
      </w:pPr>
      <w:r>
        <w:t>Table 6 Population distribution ratio for the complexes with each enantiomer</w:t>
      </w:r>
    </w:p>
    <w:p w:rsidR="00B77D50" w:rsidRDefault="00B77D50" w:rsidP="00B77D5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842"/>
        <w:gridCol w:w="1843"/>
        <w:gridCol w:w="1843"/>
      </w:tblGrid>
      <w:tr w:rsidR="00B77D50" w:rsidTr="00DE0576">
        <w:tblPrEx>
          <w:tblCellMar>
            <w:top w:w="0" w:type="dxa"/>
            <w:bottom w:w="0" w:type="dxa"/>
          </w:tblCellMar>
        </w:tblPrEx>
        <w:trPr>
          <w:jc w:val="center"/>
        </w:trPr>
        <w:tc>
          <w:tcPr>
            <w:tcW w:w="1630" w:type="dxa"/>
          </w:tcPr>
          <w:p w:rsidR="00B77D50" w:rsidRDefault="00B77D50" w:rsidP="00DE0576">
            <w:pPr>
              <w:jc w:val="center"/>
              <w:rPr>
                <w:lang w:val="es-ES"/>
              </w:rPr>
            </w:pPr>
            <w:r>
              <w:rPr>
                <w:lang w:val="es-ES"/>
              </w:rPr>
              <w:t>Molecule</w:t>
            </w:r>
          </w:p>
        </w:tc>
        <w:tc>
          <w:tcPr>
            <w:tcW w:w="1842" w:type="dxa"/>
          </w:tcPr>
          <w:p w:rsidR="00B77D50" w:rsidRDefault="00B77D50" w:rsidP="00DE0576">
            <w:pPr>
              <w:jc w:val="center"/>
              <w:rPr>
                <w:lang w:val="es-ES"/>
              </w:rPr>
            </w:pPr>
            <w:r>
              <w:sym w:font="Symbol" w:char="F061"/>
            </w:r>
            <w:r>
              <w:rPr>
                <w:lang w:val="es-ES"/>
              </w:rPr>
              <w:t xml:space="preserve"> (K</w:t>
            </w:r>
            <w:r>
              <w:rPr>
                <w:vertAlign w:val="subscript"/>
                <w:lang w:val="es-ES"/>
              </w:rPr>
              <w:t>2</w:t>
            </w:r>
            <w:r>
              <w:rPr>
                <w:lang w:val="es-ES"/>
              </w:rPr>
              <w:t>/K</w:t>
            </w:r>
            <w:r>
              <w:rPr>
                <w:vertAlign w:val="subscript"/>
                <w:lang w:val="es-ES"/>
              </w:rPr>
              <w:t>1</w:t>
            </w:r>
            <w:r>
              <w:rPr>
                <w:lang w:val="es-ES"/>
              </w:rPr>
              <w:t>)</w:t>
            </w:r>
          </w:p>
          <w:p w:rsidR="00B77D50" w:rsidRDefault="00B77D50" w:rsidP="00DE0576">
            <w:pPr>
              <w:jc w:val="center"/>
            </w:pPr>
            <w:r>
              <w:t>experimental</w:t>
            </w:r>
          </w:p>
        </w:tc>
        <w:tc>
          <w:tcPr>
            <w:tcW w:w="1843" w:type="dxa"/>
          </w:tcPr>
          <w:p w:rsidR="00B77D50" w:rsidRDefault="00B77D50" w:rsidP="00DE0576">
            <w:pPr>
              <w:jc w:val="center"/>
            </w:pPr>
            <w:r>
              <w:sym w:font="Symbol" w:char="F061"/>
            </w:r>
            <w:r>
              <w:rPr>
                <w:vertAlign w:val="subscript"/>
              </w:rPr>
              <w:t>i</w:t>
            </w:r>
            <w:r>
              <w:t xml:space="preserve"> calculated (inclusion complex)</w:t>
            </w:r>
          </w:p>
        </w:tc>
        <w:tc>
          <w:tcPr>
            <w:tcW w:w="1843" w:type="dxa"/>
          </w:tcPr>
          <w:p w:rsidR="00B77D50" w:rsidRDefault="00B77D50" w:rsidP="00DE0576">
            <w:pPr>
              <w:jc w:val="center"/>
            </w:pPr>
            <w:r>
              <w:sym w:font="Symbol" w:char="F061"/>
            </w:r>
            <w:r>
              <w:rPr>
                <w:vertAlign w:val="subscript"/>
              </w:rPr>
              <w:t xml:space="preserve">i </w:t>
            </w:r>
            <w:r>
              <w:t>calculated (exclusion complex)</w:t>
            </w:r>
          </w:p>
        </w:tc>
      </w:tr>
      <w:tr w:rsidR="00B77D50" w:rsidTr="00DE0576">
        <w:tblPrEx>
          <w:tblCellMar>
            <w:top w:w="0" w:type="dxa"/>
            <w:bottom w:w="0" w:type="dxa"/>
          </w:tblCellMar>
        </w:tblPrEx>
        <w:trPr>
          <w:jc w:val="center"/>
        </w:trPr>
        <w:tc>
          <w:tcPr>
            <w:tcW w:w="1630" w:type="dxa"/>
          </w:tcPr>
          <w:p w:rsidR="00B77D50" w:rsidRDefault="00B77D50" w:rsidP="00DE0576">
            <w:pPr>
              <w:jc w:val="center"/>
            </w:pPr>
            <w:r>
              <w:t>oxazepam</w:t>
            </w:r>
          </w:p>
        </w:tc>
        <w:tc>
          <w:tcPr>
            <w:tcW w:w="1842" w:type="dxa"/>
          </w:tcPr>
          <w:p w:rsidR="00B77D50" w:rsidRDefault="00B77D50" w:rsidP="00DE0576">
            <w:pPr>
              <w:jc w:val="center"/>
            </w:pPr>
            <w:r>
              <w:t>2.30</w:t>
            </w:r>
          </w:p>
        </w:tc>
        <w:tc>
          <w:tcPr>
            <w:tcW w:w="1843" w:type="dxa"/>
          </w:tcPr>
          <w:p w:rsidR="00B77D50" w:rsidRDefault="00B77D50" w:rsidP="00DE0576">
            <w:pPr>
              <w:jc w:val="center"/>
            </w:pPr>
            <w:r>
              <w:t>1.91</w:t>
            </w:r>
          </w:p>
        </w:tc>
        <w:tc>
          <w:tcPr>
            <w:tcW w:w="1843" w:type="dxa"/>
          </w:tcPr>
          <w:p w:rsidR="00B77D50" w:rsidRDefault="00B77D50" w:rsidP="00DE0576">
            <w:pPr>
              <w:jc w:val="center"/>
            </w:pPr>
            <w:r>
              <w:t>10.13</w:t>
            </w:r>
          </w:p>
        </w:tc>
      </w:tr>
      <w:tr w:rsidR="00B77D50" w:rsidTr="00DE0576">
        <w:tblPrEx>
          <w:tblCellMar>
            <w:top w:w="0" w:type="dxa"/>
            <w:bottom w:w="0" w:type="dxa"/>
          </w:tblCellMar>
        </w:tblPrEx>
        <w:trPr>
          <w:jc w:val="center"/>
        </w:trPr>
        <w:tc>
          <w:tcPr>
            <w:tcW w:w="1630" w:type="dxa"/>
          </w:tcPr>
          <w:p w:rsidR="00B77D50" w:rsidRDefault="00B77D50" w:rsidP="00DE0576">
            <w:pPr>
              <w:jc w:val="center"/>
            </w:pPr>
            <w:r>
              <w:t>temazepam</w:t>
            </w:r>
          </w:p>
        </w:tc>
        <w:tc>
          <w:tcPr>
            <w:tcW w:w="1842" w:type="dxa"/>
          </w:tcPr>
          <w:p w:rsidR="00B77D50" w:rsidRDefault="00B77D50" w:rsidP="00DE0576">
            <w:pPr>
              <w:jc w:val="center"/>
            </w:pPr>
            <w:r>
              <w:t>1.06</w:t>
            </w:r>
          </w:p>
        </w:tc>
        <w:tc>
          <w:tcPr>
            <w:tcW w:w="1843" w:type="dxa"/>
          </w:tcPr>
          <w:p w:rsidR="00B77D50" w:rsidRDefault="00B77D50" w:rsidP="00DE0576">
            <w:pPr>
              <w:jc w:val="center"/>
            </w:pPr>
            <w:r>
              <w:t>1.06</w:t>
            </w:r>
          </w:p>
        </w:tc>
        <w:tc>
          <w:tcPr>
            <w:tcW w:w="1843" w:type="dxa"/>
          </w:tcPr>
          <w:p w:rsidR="00B77D50" w:rsidRDefault="00B77D50" w:rsidP="00DE0576">
            <w:pPr>
              <w:jc w:val="center"/>
            </w:pPr>
            <w:r>
              <w:t>1.32</w:t>
            </w:r>
          </w:p>
        </w:tc>
      </w:tr>
      <w:tr w:rsidR="00B77D50" w:rsidTr="00DE0576">
        <w:tblPrEx>
          <w:tblCellMar>
            <w:top w:w="0" w:type="dxa"/>
            <w:bottom w:w="0" w:type="dxa"/>
          </w:tblCellMar>
        </w:tblPrEx>
        <w:trPr>
          <w:jc w:val="center"/>
        </w:trPr>
        <w:tc>
          <w:tcPr>
            <w:tcW w:w="1630" w:type="dxa"/>
          </w:tcPr>
          <w:p w:rsidR="00B77D50" w:rsidRDefault="00B77D50" w:rsidP="00DE0576">
            <w:pPr>
              <w:jc w:val="center"/>
            </w:pPr>
            <w:r>
              <w:t>lorazepam</w:t>
            </w:r>
          </w:p>
        </w:tc>
        <w:tc>
          <w:tcPr>
            <w:tcW w:w="1842" w:type="dxa"/>
          </w:tcPr>
          <w:p w:rsidR="00B77D50" w:rsidRDefault="00B77D50" w:rsidP="00DE0576">
            <w:pPr>
              <w:jc w:val="center"/>
            </w:pPr>
            <w:r>
              <w:t>1.04</w:t>
            </w:r>
          </w:p>
        </w:tc>
        <w:tc>
          <w:tcPr>
            <w:tcW w:w="1843" w:type="dxa"/>
          </w:tcPr>
          <w:p w:rsidR="00B77D50" w:rsidRDefault="00B77D50" w:rsidP="00DE0576">
            <w:pPr>
              <w:jc w:val="center"/>
            </w:pPr>
            <w:r>
              <w:t>1.04</w:t>
            </w:r>
          </w:p>
        </w:tc>
        <w:tc>
          <w:tcPr>
            <w:tcW w:w="1843" w:type="dxa"/>
          </w:tcPr>
          <w:p w:rsidR="00B77D50" w:rsidRDefault="00B77D50" w:rsidP="00DE0576">
            <w:pPr>
              <w:jc w:val="center"/>
            </w:pPr>
            <w:r>
              <w:t>1.22</w:t>
            </w:r>
          </w:p>
        </w:tc>
      </w:tr>
      <w:tr w:rsidR="00B77D50" w:rsidTr="00DE0576">
        <w:tblPrEx>
          <w:tblCellMar>
            <w:top w:w="0" w:type="dxa"/>
            <w:bottom w:w="0" w:type="dxa"/>
          </w:tblCellMar>
        </w:tblPrEx>
        <w:trPr>
          <w:jc w:val="center"/>
        </w:trPr>
        <w:tc>
          <w:tcPr>
            <w:tcW w:w="1630" w:type="dxa"/>
          </w:tcPr>
          <w:p w:rsidR="00B77D50" w:rsidRDefault="00B77D50" w:rsidP="00DE0576">
            <w:pPr>
              <w:jc w:val="center"/>
            </w:pPr>
            <w:r>
              <w:t>lormetazepam</w:t>
            </w:r>
          </w:p>
        </w:tc>
        <w:tc>
          <w:tcPr>
            <w:tcW w:w="1842" w:type="dxa"/>
          </w:tcPr>
          <w:p w:rsidR="00B77D50" w:rsidRDefault="00B77D50" w:rsidP="00DE0576">
            <w:pPr>
              <w:jc w:val="center"/>
            </w:pPr>
            <w:r>
              <w:t>1.02</w:t>
            </w:r>
          </w:p>
        </w:tc>
        <w:tc>
          <w:tcPr>
            <w:tcW w:w="1843" w:type="dxa"/>
          </w:tcPr>
          <w:p w:rsidR="00B77D50" w:rsidRDefault="00B77D50" w:rsidP="00DE0576">
            <w:pPr>
              <w:jc w:val="center"/>
            </w:pPr>
            <w:r>
              <w:t>1.21</w:t>
            </w:r>
          </w:p>
        </w:tc>
        <w:tc>
          <w:tcPr>
            <w:tcW w:w="1843" w:type="dxa"/>
          </w:tcPr>
          <w:p w:rsidR="00B77D50" w:rsidRDefault="00B77D50" w:rsidP="00DE0576">
            <w:pPr>
              <w:jc w:val="center"/>
            </w:pPr>
            <w:r>
              <w:t>34.35</w:t>
            </w:r>
          </w:p>
        </w:tc>
      </w:tr>
    </w:tbl>
    <w:p w:rsidR="00FB74B4" w:rsidRDefault="00FB74B4">
      <w:pPr>
        <w:spacing w:line="480" w:lineRule="auto"/>
        <w:ind w:left="432" w:hanging="432"/>
        <w:jc w:val="both"/>
      </w:pPr>
    </w:p>
    <w:p w:rsidR="00B77D50" w:rsidRDefault="00B77D50">
      <w:pPr>
        <w:spacing w:line="480" w:lineRule="auto"/>
        <w:ind w:left="432" w:hanging="432"/>
        <w:jc w:val="both"/>
      </w:pPr>
    </w:p>
    <w:p w:rsidR="006138CB" w:rsidRDefault="006138CB">
      <w:pPr>
        <w:spacing w:line="480" w:lineRule="auto"/>
        <w:ind w:left="432" w:hanging="432"/>
        <w:jc w:val="both"/>
      </w:pPr>
    </w:p>
    <w:p w:rsidR="006138CB" w:rsidRDefault="006138CB">
      <w:pPr>
        <w:spacing w:line="480" w:lineRule="auto"/>
        <w:ind w:left="432" w:hanging="432"/>
        <w:jc w:val="both"/>
      </w:pPr>
    </w:p>
    <w:p w:rsidR="006138CB" w:rsidRDefault="006138CB">
      <w:pPr>
        <w:spacing w:line="480" w:lineRule="auto"/>
        <w:ind w:left="432" w:hanging="432"/>
        <w:jc w:val="both"/>
      </w:pPr>
    </w:p>
    <w:p w:rsidR="00B77D50" w:rsidRDefault="006138CB" w:rsidP="006138CB">
      <w:pPr>
        <w:spacing w:line="480" w:lineRule="auto"/>
        <w:ind w:left="432" w:hanging="432"/>
        <w:jc w:val="center"/>
      </w:pPr>
      <w:r>
        <w:rPr>
          <w:noProof/>
          <w:lang w:val="es-MX" w:eastAsia="es-MX"/>
        </w:rPr>
        <w:drawing>
          <wp:inline distT="0" distB="0" distL="0" distR="0">
            <wp:extent cx="3200400" cy="370332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3200400" cy="3703320"/>
                    </a:xfrm>
                    <a:prstGeom prst="rect">
                      <a:avLst/>
                    </a:prstGeom>
                    <a:noFill/>
                  </pic:spPr>
                </pic:pic>
              </a:graphicData>
            </a:graphic>
          </wp:inline>
        </w:drawing>
      </w: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right"/>
      </w:pPr>
      <w:r>
        <w:t>Fig. 1</w:t>
      </w:r>
    </w:p>
    <w:p w:rsidR="006138CB" w:rsidRDefault="006138CB" w:rsidP="006138CB">
      <w:pPr>
        <w:spacing w:line="480" w:lineRule="auto"/>
        <w:ind w:left="432" w:hanging="432"/>
        <w:jc w:val="right"/>
      </w:pPr>
    </w:p>
    <w:p w:rsidR="006138CB" w:rsidRDefault="006138CB" w:rsidP="006138CB">
      <w:pPr>
        <w:spacing w:line="480" w:lineRule="auto"/>
        <w:ind w:left="432" w:hanging="432"/>
        <w:jc w:val="right"/>
      </w:pPr>
    </w:p>
    <w:p w:rsidR="006138CB" w:rsidRDefault="006138CB" w:rsidP="006138CB">
      <w:pPr>
        <w:spacing w:line="480" w:lineRule="auto"/>
        <w:ind w:left="432" w:hanging="432"/>
        <w:jc w:val="right"/>
      </w:pPr>
    </w:p>
    <w:p w:rsidR="006138CB" w:rsidRDefault="006138CB" w:rsidP="006138CB">
      <w:pPr>
        <w:spacing w:line="480" w:lineRule="auto"/>
        <w:ind w:left="432" w:hanging="432"/>
        <w:jc w:val="right"/>
      </w:pPr>
    </w:p>
    <w:p w:rsidR="006138CB" w:rsidRDefault="006138CB" w:rsidP="006138CB">
      <w:pPr>
        <w:spacing w:line="480" w:lineRule="auto"/>
        <w:ind w:left="432" w:hanging="432"/>
        <w:jc w:val="center"/>
      </w:pPr>
      <w:r>
        <w:rPr>
          <w:noProof/>
          <w:lang w:val="es-MX" w:eastAsia="es-MX"/>
        </w:rPr>
        <w:drawing>
          <wp:inline distT="0" distB="0" distL="0" distR="0">
            <wp:extent cx="5440680" cy="3893820"/>
            <wp:effectExtent l="1905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440680" cy="3893820"/>
                    </a:xfrm>
                    <a:prstGeom prst="rect">
                      <a:avLst/>
                    </a:prstGeom>
                    <a:noFill/>
                  </pic:spPr>
                </pic:pic>
              </a:graphicData>
            </a:graphic>
          </wp:inline>
        </w:drawing>
      </w: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right"/>
      </w:pPr>
      <w:r>
        <w:t>Fig. 2</w:t>
      </w:r>
    </w:p>
    <w:p w:rsidR="006138CB" w:rsidRDefault="006138CB" w:rsidP="006138CB">
      <w:pPr>
        <w:spacing w:line="480" w:lineRule="auto"/>
        <w:ind w:left="432" w:hanging="432"/>
        <w:jc w:val="right"/>
      </w:pPr>
    </w:p>
    <w:p w:rsidR="006138CB" w:rsidRDefault="006138CB" w:rsidP="006138CB">
      <w:pPr>
        <w:spacing w:line="480" w:lineRule="auto"/>
        <w:ind w:left="432" w:hanging="432"/>
        <w:jc w:val="right"/>
      </w:pPr>
    </w:p>
    <w:p w:rsidR="006138CB" w:rsidRDefault="006138CB" w:rsidP="006138CB">
      <w:pPr>
        <w:spacing w:line="480" w:lineRule="auto"/>
        <w:ind w:left="432" w:hanging="432"/>
        <w:jc w:val="right"/>
      </w:pPr>
    </w:p>
    <w:p w:rsidR="006138CB" w:rsidRDefault="006138CB" w:rsidP="006138CB">
      <w:pPr>
        <w:spacing w:line="480" w:lineRule="auto"/>
        <w:ind w:left="432" w:hanging="432"/>
        <w:jc w:val="center"/>
      </w:pPr>
      <w:r>
        <w:rPr>
          <w:noProof/>
          <w:lang w:val="es-MX" w:eastAsia="es-MX"/>
        </w:rPr>
        <w:drawing>
          <wp:inline distT="0" distB="0" distL="0" distR="0">
            <wp:extent cx="4389120" cy="479298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4389120" cy="4792980"/>
                    </a:xfrm>
                    <a:prstGeom prst="rect">
                      <a:avLst/>
                    </a:prstGeom>
                    <a:noFill/>
                  </pic:spPr>
                </pic:pic>
              </a:graphicData>
            </a:graphic>
          </wp:inline>
        </w:drawing>
      </w: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6138CB">
      <w:pPr>
        <w:spacing w:line="480" w:lineRule="auto"/>
        <w:ind w:left="432" w:hanging="432"/>
        <w:jc w:val="center"/>
      </w:pPr>
    </w:p>
    <w:p w:rsidR="006138CB" w:rsidRDefault="006138CB" w:rsidP="003B4F20">
      <w:pPr>
        <w:spacing w:line="480" w:lineRule="auto"/>
        <w:ind w:left="432" w:hanging="432"/>
        <w:jc w:val="right"/>
      </w:pPr>
      <w:r>
        <w:t>Fig. 3</w:t>
      </w:r>
    </w:p>
    <w:p w:rsidR="003B4F20" w:rsidRDefault="003B4F20" w:rsidP="003B4F20">
      <w:pPr>
        <w:spacing w:line="480" w:lineRule="auto"/>
        <w:ind w:left="432" w:hanging="432"/>
        <w:jc w:val="right"/>
      </w:pPr>
    </w:p>
    <w:p w:rsidR="003B4F20" w:rsidRDefault="003B4F20" w:rsidP="003B4F20">
      <w:pPr>
        <w:spacing w:line="480" w:lineRule="auto"/>
        <w:ind w:left="432" w:hanging="432"/>
        <w:jc w:val="right"/>
      </w:pPr>
    </w:p>
    <w:p w:rsidR="003B4F20" w:rsidRDefault="003B4F20" w:rsidP="003B4F20">
      <w:pPr>
        <w:spacing w:line="480" w:lineRule="auto"/>
        <w:ind w:left="432" w:hanging="432"/>
      </w:pPr>
      <w:r>
        <w:rPr>
          <w:noProof/>
          <w:lang w:val="es-MX" w:eastAsia="es-MX"/>
        </w:rPr>
        <w:drawing>
          <wp:inline distT="0" distB="0" distL="0" distR="0">
            <wp:extent cx="6461760" cy="498348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6461760" cy="4983480"/>
                    </a:xfrm>
                    <a:prstGeom prst="rect">
                      <a:avLst/>
                    </a:prstGeom>
                    <a:noFill/>
                  </pic:spPr>
                </pic:pic>
              </a:graphicData>
            </a:graphic>
          </wp:inline>
        </w:drawing>
      </w:r>
    </w:p>
    <w:p w:rsidR="003B4F20" w:rsidRDefault="003B4F20" w:rsidP="003B4F20">
      <w:pPr>
        <w:spacing w:line="480" w:lineRule="auto"/>
        <w:ind w:left="432" w:hanging="432"/>
      </w:pPr>
    </w:p>
    <w:p w:rsidR="003B4F20" w:rsidRDefault="003B4F20" w:rsidP="003B4F20">
      <w:pPr>
        <w:spacing w:line="480" w:lineRule="auto"/>
        <w:ind w:left="432" w:hanging="432"/>
      </w:pPr>
    </w:p>
    <w:p w:rsidR="003B4F20" w:rsidRDefault="003B4F20" w:rsidP="003B4F20">
      <w:pPr>
        <w:spacing w:line="480" w:lineRule="auto"/>
        <w:ind w:left="432" w:hanging="432"/>
      </w:pPr>
    </w:p>
    <w:p w:rsidR="003B4F20" w:rsidRDefault="003B4F20" w:rsidP="003B4F20">
      <w:pPr>
        <w:spacing w:line="480" w:lineRule="auto"/>
        <w:ind w:left="432" w:hanging="432"/>
      </w:pPr>
    </w:p>
    <w:p w:rsidR="003B4F20" w:rsidRDefault="003B4F20" w:rsidP="003B4F20">
      <w:pPr>
        <w:spacing w:line="480" w:lineRule="auto"/>
        <w:ind w:left="432" w:hanging="432"/>
      </w:pPr>
    </w:p>
    <w:p w:rsidR="003B4F20" w:rsidRDefault="003B4F20" w:rsidP="003B4F20">
      <w:pPr>
        <w:spacing w:line="480" w:lineRule="auto"/>
        <w:ind w:left="432" w:hanging="432"/>
      </w:pPr>
    </w:p>
    <w:p w:rsidR="003B4F20" w:rsidRDefault="003B4F20" w:rsidP="003B4F20">
      <w:pPr>
        <w:spacing w:line="480" w:lineRule="auto"/>
        <w:ind w:left="432" w:hanging="432"/>
        <w:jc w:val="right"/>
      </w:pPr>
      <w:r>
        <w:t>Fig. 4</w:t>
      </w:r>
    </w:p>
    <w:p w:rsidR="003B4F20" w:rsidRDefault="003B4F20" w:rsidP="003B4F20">
      <w:pPr>
        <w:spacing w:line="480" w:lineRule="auto"/>
        <w:ind w:left="432" w:hanging="432"/>
        <w:jc w:val="right"/>
      </w:pPr>
    </w:p>
    <w:p w:rsidR="003B4F20" w:rsidRDefault="003B4F20" w:rsidP="003B4F20">
      <w:pPr>
        <w:spacing w:line="480" w:lineRule="auto"/>
        <w:ind w:left="432" w:hanging="432"/>
        <w:jc w:val="right"/>
      </w:pPr>
    </w:p>
    <w:p w:rsidR="003B4F20" w:rsidRDefault="003B4F20" w:rsidP="003B4F20">
      <w:pPr>
        <w:spacing w:line="480" w:lineRule="auto"/>
        <w:ind w:left="432" w:hanging="432"/>
        <w:jc w:val="center"/>
      </w:pPr>
      <w:r>
        <w:rPr>
          <w:noProof/>
          <w:lang w:val="es-MX" w:eastAsia="es-MX"/>
        </w:rPr>
        <w:drawing>
          <wp:inline distT="0" distB="0" distL="0" distR="0">
            <wp:extent cx="4343400" cy="589788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4343400" cy="5897880"/>
                    </a:xfrm>
                    <a:prstGeom prst="rect">
                      <a:avLst/>
                    </a:prstGeom>
                    <a:noFill/>
                  </pic:spPr>
                </pic:pic>
              </a:graphicData>
            </a:graphic>
          </wp:inline>
        </w:drawing>
      </w:r>
    </w:p>
    <w:p w:rsidR="003B4F20" w:rsidRDefault="003B4F20" w:rsidP="003B4F20">
      <w:pPr>
        <w:spacing w:line="480" w:lineRule="auto"/>
        <w:ind w:left="432" w:hanging="432"/>
        <w:jc w:val="center"/>
      </w:pPr>
    </w:p>
    <w:p w:rsidR="003B4F20" w:rsidRDefault="003B4F20" w:rsidP="003B4F20">
      <w:pPr>
        <w:spacing w:line="480" w:lineRule="auto"/>
        <w:ind w:left="432" w:hanging="432"/>
        <w:jc w:val="center"/>
      </w:pPr>
    </w:p>
    <w:p w:rsidR="003B4F20" w:rsidRDefault="003B4F20" w:rsidP="003B4F20">
      <w:pPr>
        <w:spacing w:line="480" w:lineRule="auto"/>
        <w:ind w:left="432" w:hanging="432"/>
        <w:jc w:val="center"/>
      </w:pPr>
    </w:p>
    <w:p w:rsidR="003B4F20" w:rsidRDefault="003B4F20" w:rsidP="003B4F20">
      <w:pPr>
        <w:spacing w:line="480" w:lineRule="auto"/>
        <w:ind w:left="432" w:hanging="432"/>
        <w:jc w:val="right"/>
      </w:pPr>
      <w:r>
        <w:t>Fig. 5</w:t>
      </w:r>
    </w:p>
    <w:p w:rsidR="003B4F20" w:rsidRDefault="003B4F20" w:rsidP="003B4F20">
      <w:pPr>
        <w:spacing w:line="480" w:lineRule="auto"/>
        <w:ind w:left="432" w:hanging="432"/>
        <w:jc w:val="right"/>
      </w:pPr>
    </w:p>
    <w:p w:rsidR="003B4F20" w:rsidRDefault="003B4F20" w:rsidP="003B4F20">
      <w:pPr>
        <w:spacing w:line="480" w:lineRule="auto"/>
        <w:ind w:left="432" w:hanging="432"/>
        <w:jc w:val="right"/>
      </w:pPr>
    </w:p>
    <w:p w:rsidR="003B4F20" w:rsidRDefault="003B4F20" w:rsidP="003B4F20">
      <w:pPr>
        <w:spacing w:line="480" w:lineRule="auto"/>
        <w:ind w:left="432" w:hanging="432"/>
        <w:jc w:val="right"/>
      </w:pPr>
    </w:p>
    <w:p w:rsidR="003B4F20" w:rsidRDefault="003B4F20" w:rsidP="003B4F20">
      <w:pPr>
        <w:spacing w:line="480" w:lineRule="auto"/>
        <w:ind w:left="432" w:hanging="432"/>
        <w:jc w:val="right"/>
      </w:pPr>
    </w:p>
    <w:p w:rsidR="003B4F20" w:rsidRDefault="003B4F20" w:rsidP="003B4F20">
      <w:pPr>
        <w:spacing w:line="480" w:lineRule="auto"/>
        <w:ind w:left="432" w:hanging="432"/>
        <w:jc w:val="center"/>
      </w:pPr>
      <w:r w:rsidRPr="003B4F20">
        <w:drawing>
          <wp:inline distT="0" distB="0" distL="0" distR="0">
            <wp:extent cx="2446337" cy="2849563"/>
            <wp:effectExtent l="19050" t="0" r="0" b="0"/>
            <wp:docPr id="4" name="Imagen 4"/>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1"/>
                    <a:srcRect/>
                    <a:stretch>
                      <a:fillRect/>
                    </a:stretch>
                  </pic:blipFill>
                  <pic:spPr bwMode="auto">
                    <a:xfrm>
                      <a:off x="0" y="0"/>
                      <a:ext cx="2446337" cy="2849563"/>
                    </a:xfrm>
                    <a:prstGeom prst="rect">
                      <a:avLst/>
                    </a:prstGeom>
                    <a:noFill/>
                    <a:ln w="12700" cap="flat" cmpd="sng">
                      <a:noFill/>
                      <a:prstDash val="solid"/>
                      <a:miter lim="800000"/>
                      <a:headEnd/>
                      <a:tailEnd/>
                    </a:ln>
                    <a:effectLst/>
                  </pic:spPr>
                </pic:pic>
              </a:graphicData>
            </a:graphic>
          </wp:inline>
        </w:drawing>
      </w:r>
    </w:p>
    <w:p w:rsidR="003B4F20" w:rsidRDefault="003B4F20" w:rsidP="003B4F20">
      <w:pPr>
        <w:spacing w:line="480" w:lineRule="auto"/>
        <w:ind w:left="432" w:hanging="432"/>
        <w:jc w:val="center"/>
      </w:pPr>
    </w:p>
    <w:p w:rsidR="003B4F20" w:rsidRDefault="003B4F20" w:rsidP="003B4F20">
      <w:pPr>
        <w:spacing w:line="480" w:lineRule="auto"/>
        <w:ind w:left="432" w:hanging="432"/>
        <w:jc w:val="center"/>
      </w:pPr>
    </w:p>
    <w:p w:rsidR="003B4F20" w:rsidRDefault="003B4F20" w:rsidP="003B4F20">
      <w:pPr>
        <w:spacing w:line="480" w:lineRule="auto"/>
        <w:ind w:left="432" w:hanging="432"/>
        <w:jc w:val="center"/>
      </w:pPr>
    </w:p>
    <w:p w:rsidR="003B4F20" w:rsidRDefault="003B4F20" w:rsidP="003B4F20">
      <w:pPr>
        <w:spacing w:line="480" w:lineRule="auto"/>
        <w:ind w:left="432" w:hanging="432"/>
        <w:jc w:val="center"/>
      </w:pPr>
    </w:p>
    <w:p w:rsidR="003B4F20" w:rsidRDefault="003B4F20" w:rsidP="003B4F20">
      <w:pPr>
        <w:spacing w:line="480" w:lineRule="auto"/>
        <w:ind w:left="432" w:hanging="432"/>
        <w:jc w:val="center"/>
      </w:pPr>
    </w:p>
    <w:p w:rsidR="003B4F20" w:rsidRDefault="003B4F20" w:rsidP="003B4F20">
      <w:pPr>
        <w:spacing w:line="480" w:lineRule="auto"/>
        <w:ind w:left="432" w:hanging="432"/>
        <w:jc w:val="center"/>
      </w:pPr>
    </w:p>
    <w:p w:rsidR="003B4F20" w:rsidRDefault="003B4F20" w:rsidP="003B4F20">
      <w:pPr>
        <w:spacing w:line="480" w:lineRule="auto"/>
        <w:ind w:left="432" w:hanging="432"/>
        <w:jc w:val="right"/>
      </w:pPr>
      <w:r>
        <w:t>Fig. 6</w:t>
      </w:r>
    </w:p>
    <w:p w:rsidR="003B4F20" w:rsidRPr="004C3F92" w:rsidRDefault="003B4F20" w:rsidP="003B4F20">
      <w:pPr>
        <w:spacing w:line="480" w:lineRule="auto"/>
        <w:ind w:left="432" w:hanging="432"/>
        <w:jc w:val="center"/>
      </w:pPr>
    </w:p>
    <w:sectPr w:rsidR="003B4F20" w:rsidRPr="004C3F92" w:rsidSect="001F1237">
      <w:headerReference w:type="even" r:id="rId22"/>
      <w:footerReference w:type="default" r:id="rId23"/>
      <w:pgSz w:w="12240" w:h="15840" w:code="1"/>
      <w:pgMar w:top="1418" w:right="1418" w:bottom="1418"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AC9" w:rsidRDefault="00D97AC9">
      <w:r>
        <w:separator/>
      </w:r>
    </w:p>
  </w:endnote>
  <w:endnote w:type="continuationSeparator" w:id="0">
    <w:p w:rsidR="00D97AC9" w:rsidRDefault="00D97AC9">
      <w:r>
        <w:continuationSeparator/>
      </w:r>
    </w:p>
  </w:endnote>
</w:endnotes>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704165"/>
      <w:docPartObj>
        <w:docPartGallery w:val="Page Numbers (Bottom of Page)"/>
        <w:docPartUnique/>
      </w:docPartObj>
    </w:sdtPr>
    <w:sdtContent>
      <w:p w:rsidR="0031198C" w:rsidRDefault="0031198C">
        <w:pPr>
          <w:pStyle w:val="Piedepgina"/>
          <w:jc w:val="right"/>
        </w:pPr>
        <w:fldSimple w:instr=" PAGE   \* MERGEFORMAT ">
          <w:r w:rsidR="003B4F20">
            <w:rPr>
              <w:noProof/>
            </w:rPr>
            <w:t>27</w:t>
          </w:r>
        </w:fldSimple>
      </w:p>
    </w:sdtContent>
  </w:sdt>
  <w:p w:rsidR="0031198C" w:rsidRDefault="0031198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AC9" w:rsidRDefault="00D97AC9">
      <w:r>
        <w:separator/>
      </w:r>
    </w:p>
  </w:footnote>
  <w:footnote w:type="continuationSeparator" w:id="0">
    <w:p w:rsidR="00D97AC9" w:rsidRDefault="00D97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98C" w:rsidRDefault="0031198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1198C" w:rsidRDefault="0031198C">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70E02"/>
    <w:rsid w:val="00001A85"/>
    <w:rsid w:val="000040E7"/>
    <w:rsid w:val="00077385"/>
    <w:rsid w:val="000E37D4"/>
    <w:rsid w:val="00100E43"/>
    <w:rsid w:val="001433BC"/>
    <w:rsid w:val="00173075"/>
    <w:rsid w:val="00186162"/>
    <w:rsid w:val="001A61F2"/>
    <w:rsid w:val="001F1237"/>
    <w:rsid w:val="001F31A9"/>
    <w:rsid w:val="002461DA"/>
    <w:rsid w:val="00247949"/>
    <w:rsid w:val="002A23A0"/>
    <w:rsid w:val="00310A1B"/>
    <w:rsid w:val="0031198C"/>
    <w:rsid w:val="00335F7A"/>
    <w:rsid w:val="003376C9"/>
    <w:rsid w:val="003A1510"/>
    <w:rsid w:val="003A19D6"/>
    <w:rsid w:val="003B4F20"/>
    <w:rsid w:val="003E402E"/>
    <w:rsid w:val="00456BBB"/>
    <w:rsid w:val="004C3F92"/>
    <w:rsid w:val="004D5D68"/>
    <w:rsid w:val="006138CB"/>
    <w:rsid w:val="00657190"/>
    <w:rsid w:val="006625C6"/>
    <w:rsid w:val="00664842"/>
    <w:rsid w:val="006F2E8C"/>
    <w:rsid w:val="0074535D"/>
    <w:rsid w:val="007953E0"/>
    <w:rsid w:val="007C5205"/>
    <w:rsid w:val="008D295D"/>
    <w:rsid w:val="00A20182"/>
    <w:rsid w:val="00A70E02"/>
    <w:rsid w:val="00AA02A9"/>
    <w:rsid w:val="00AE217F"/>
    <w:rsid w:val="00B77D50"/>
    <w:rsid w:val="00BE2BED"/>
    <w:rsid w:val="00C843C6"/>
    <w:rsid w:val="00CD72F9"/>
    <w:rsid w:val="00D268B8"/>
    <w:rsid w:val="00D35956"/>
    <w:rsid w:val="00D77957"/>
    <w:rsid w:val="00D870C5"/>
    <w:rsid w:val="00D97AC9"/>
    <w:rsid w:val="00DE0E15"/>
    <w:rsid w:val="00DE2506"/>
    <w:rsid w:val="00DF7135"/>
    <w:rsid w:val="00E13219"/>
    <w:rsid w:val="00E46F57"/>
    <w:rsid w:val="00E53946"/>
    <w:rsid w:val="00E738A9"/>
    <w:rsid w:val="00F028B5"/>
    <w:rsid w:val="00F236BC"/>
    <w:rsid w:val="00FA05B8"/>
    <w:rsid w:val="00FB0617"/>
    <w:rsid w:val="00FB74B4"/>
  </w:rsids>
  <m:mathPr>
    <m:mathFont m:val="Cambria Math"/>
    <m:brkBin m:val="before"/>
    <m:brkBinSub m:val="--"/>
    <m:smallFrac m:val="off"/>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237"/>
    <w:rPr>
      <w:rFonts w:ascii="Times New Roman" w:hAnsi="Times New Roman"/>
      <w:sz w:val="24"/>
      <w:szCs w:val="24"/>
      <w:lang w:val="en-US" w:eastAsia="en-US"/>
    </w:rPr>
  </w:style>
  <w:style w:type="paragraph" w:styleId="Ttulo1">
    <w:name w:val="heading 1"/>
    <w:basedOn w:val="Normal"/>
    <w:next w:val="Normal"/>
    <w:qFormat/>
    <w:rsid w:val="001F1237"/>
    <w:pPr>
      <w:keepNext/>
      <w:spacing w:line="480" w:lineRule="atLeast"/>
      <w:jc w:val="both"/>
      <w:outlineLvl w:val="0"/>
    </w:pPr>
    <w:rPr>
      <w:b/>
      <w:bCs/>
      <w:i/>
      <w:iCs/>
    </w:rPr>
  </w:style>
  <w:style w:type="paragraph" w:styleId="Ttulo2">
    <w:name w:val="heading 2"/>
    <w:basedOn w:val="Normal"/>
    <w:next w:val="Normal"/>
    <w:qFormat/>
    <w:rsid w:val="001F1237"/>
    <w:pPr>
      <w:keepNext/>
      <w:spacing w:line="480" w:lineRule="atLeast"/>
      <w:ind w:right="270" w:firstLine="720"/>
      <w:jc w:val="both"/>
      <w:outlineLvl w:val="1"/>
    </w:pPr>
    <w:rPr>
      <w:b/>
      <w:bCs/>
      <w:lang w:val="es-ES"/>
    </w:rPr>
  </w:style>
  <w:style w:type="paragraph" w:styleId="Ttulo3">
    <w:name w:val="heading 3"/>
    <w:basedOn w:val="Normal"/>
    <w:next w:val="Normal"/>
    <w:qFormat/>
    <w:rsid w:val="001F1237"/>
    <w:pPr>
      <w:keepNext/>
      <w:spacing w:line="480" w:lineRule="atLeast"/>
      <w:jc w:val="both"/>
      <w:outlineLvl w:val="2"/>
    </w:pPr>
    <w:rPr>
      <w:b/>
      <w:bCs/>
    </w:rPr>
  </w:style>
  <w:style w:type="paragraph" w:styleId="Ttulo4">
    <w:name w:val="heading 4"/>
    <w:basedOn w:val="Normal"/>
    <w:next w:val="Normal"/>
    <w:qFormat/>
    <w:rsid w:val="001F1237"/>
    <w:pPr>
      <w:keepNext/>
      <w:spacing w:line="480" w:lineRule="atLeast"/>
      <w:outlineLvl w:val="3"/>
    </w:pPr>
    <w:rPr>
      <w:b/>
      <w:bCs/>
    </w:rPr>
  </w:style>
  <w:style w:type="paragraph" w:styleId="Ttulo5">
    <w:name w:val="heading 5"/>
    <w:basedOn w:val="Normal"/>
    <w:next w:val="Normal"/>
    <w:qFormat/>
    <w:rsid w:val="001F1237"/>
    <w:pPr>
      <w:keepNext/>
      <w:spacing w:line="480" w:lineRule="atLeast"/>
      <w:ind w:right="270"/>
      <w:jc w:val="both"/>
      <w:outlineLvl w:val="4"/>
    </w:pPr>
    <w:rPr>
      <w:b/>
      <w:bCs/>
      <w:i/>
      <w:iCs/>
    </w:rPr>
  </w:style>
  <w:style w:type="paragraph" w:styleId="Ttulo6">
    <w:name w:val="heading 6"/>
    <w:basedOn w:val="Normal"/>
    <w:next w:val="Normal"/>
    <w:qFormat/>
    <w:rsid w:val="001F1237"/>
    <w:pPr>
      <w:keepNext/>
      <w:spacing w:line="480" w:lineRule="auto"/>
      <w:ind w:right="270"/>
      <w:jc w:val="both"/>
      <w:outlineLvl w:val="5"/>
    </w:pPr>
    <w:rPr>
      <w:b/>
      <w:bCs/>
      <w:cap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1F1237"/>
    <w:pPr>
      <w:spacing w:line="480" w:lineRule="atLeast"/>
      <w:jc w:val="center"/>
    </w:pPr>
    <w:rPr>
      <w:b/>
      <w:bCs/>
      <w:sz w:val="26"/>
      <w:szCs w:val="26"/>
    </w:rPr>
  </w:style>
  <w:style w:type="paragraph" w:styleId="Textoindependiente2">
    <w:name w:val="Body Text 2"/>
    <w:basedOn w:val="Normal"/>
    <w:semiHidden/>
    <w:rsid w:val="001F1237"/>
    <w:pPr>
      <w:spacing w:line="480" w:lineRule="atLeast"/>
      <w:jc w:val="both"/>
    </w:pPr>
  </w:style>
  <w:style w:type="paragraph" w:styleId="Textoindependiente3">
    <w:name w:val="Body Text 3"/>
    <w:basedOn w:val="Normal"/>
    <w:semiHidden/>
    <w:rsid w:val="001F1237"/>
    <w:pPr>
      <w:spacing w:line="480" w:lineRule="atLeast"/>
      <w:ind w:right="270"/>
      <w:jc w:val="both"/>
    </w:pPr>
  </w:style>
  <w:style w:type="character" w:styleId="Hipervnculo">
    <w:name w:val="Hyperlink"/>
    <w:basedOn w:val="Fuentedeprrafopredeter"/>
    <w:semiHidden/>
    <w:rsid w:val="001F1237"/>
    <w:rPr>
      <w:color w:val="0000FF"/>
      <w:u w:val="single"/>
    </w:rPr>
  </w:style>
  <w:style w:type="paragraph" w:styleId="Sangradetextonormal">
    <w:name w:val="Body Text Indent"/>
    <w:basedOn w:val="Normal"/>
    <w:semiHidden/>
    <w:rsid w:val="001F1237"/>
    <w:pPr>
      <w:spacing w:line="240" w:lineRule="atLeast"/>
      <w:ind w:left="1134" w:hanging="1134"/>
      <w:jc w:val="both"/>
    </w:pPr>
  </w:style>
  <w:style w:type="character" w:styleId="Hipervnculovisitado">
    <w:name w:val="FollowedHyperlink"/>
    <w:basedOn w:val="Fuentedeprrafopredeter"/>
    <w:semiHidden/>
    <w:rsid w:val="001F1237"/>
    <w:rPr>
      <w:color w:val="800080"/>
      <w:u w:val="single"/>
    </w:rPr>
  </w:style>
  <w:style w:type="paragraph" w:styleId="Encabezado">
    <w:name w:val="header"/>
    <w:basedOn w:val="Normal"/>
    <w:semiHidden/>
    <w:rsid w:val="001F1237"/>
    <w:pPr>
      <w:tabs>
        <w:tab w:val="center" w:pos="4419"/>
        <w:tab w:val="right" w:pos="8838"/>
      </w:tabs>
    </w:pPr>
  </w:style>
  <w:style w:type="character" w:styleId="Nmerodepgina">
    <w:name w:val="page number"/>
    <w:basedOn w:val="Fuentedeprrafopredeter"/>
    <w:semiHidden/>
    <w:rsid w:val="001F1237"/>
  </w:style>
  <w:style w:type="paragraph" w:styleId="Piedepgina">
    <w:name w:val="footer"/>
    <w:basedOn w:val="Normal"/>
    <w:link w:val="PiedepginaCar"/>
    <w:uiPriority w:val="99"/>
    <w:rsid w:val="001F1237"/>
    <w:pPr>
      <w:tabs>
        <w:tab w:val="center" w:pos="4419"/>
        <w:tab w:val="right" w:pos="8838"/>
      </w:tabs>
    </w:pPr>
  </w:style>
  <w:style w:type="paragraph" w:styleId="Sangra2detindependiente">
    <w:name w:val="Body Text Indent 2"/>
    <w:basedOn w:val="Normal"/>
    <w:semiHidden/>
    <w:rsid w:val="001F1237"/>
    <w:pPr>
      <w:spacing w:line="480" w:lineRule="atLeast"/>
      <w:ind w:firstLine="720"/>
      <w:jc w:val="both"/>
    </w:pPr>
  </w:style>
  <w:style w:type="character" w:styleId="Refdecomentario">
    <w:name w:val="annotation reference"/>
    <w:basedOn w:val="Fuentedeprrafopredeter"/>
    <w:uiPriority w:val="99"/>
    <w:semiHidden/>
    <w:unhideWhenUsed/>
    <w:rsid w:val="00247949"/>
    <w:rPr>
      <w:sz w:val="16"/>
      <w:szCs w:val="16"/>
    </w:rPr>
  </w:style>
  <w:style w:type="paragraph" w:styleId="Textocomentario">
    <w:name w:val="annotation text"/>
    <w:basedOn w:val="Normal"/>
    <w:link w:val="TextocomentarioCar"/>
    <w:uiPriority w:val="99"/>
    <w:semiHidden/>
    <w:unhideWhenUsed/>
    <w:rsid w:val="00247949"/>
    <w:rPr>
      <w:sz w:val="20"/>
      <w:szCs w:val="20"/>
    </w:rPr>
  </w:style>
  <w:style w:type="character" w:customStyle="1" w:styleId="TextocomentarioCar">
    <w:name w:val="Texto comentario Car"/>
    <w:basedOn w:val="Fuentedeprrafopredeter"/>
    <w:link w:val="Textocomentario"/>
    <w:uiPriority w:val="99"/>
    <w:semiHidden/>
    <w:rsid w:val="00247949"/>
    <w:rPr>
      <w:rFonts w:ascii="Times New Roman" w:hAnsi="Times New Roman"/>
      <w:lang w:val="en-US" w:eastAsia="en-US"/>
    </w:rPr>
  </w:style>
  <w:style w:type="paragraph" w:styleId="Asuntodelcomentario">
    <w:name w:val="annotation subject"/>
    <w:basedOn w:val="Textocomentario"/>
    <w:next w:val="Textocomentario"/>
    <w:link w:val="AsuntodelcomentarioCar"/>
    <w:uiPriority w:val="99"/>
    <w:semiHidden/>
    <w:unhideWhenUsed/>
    <w:rsid w:val="00247949"/>
    <w:rPr>
      <w:b/>
      <w:bCs/>
    </w:rPr>
  </w:style>
  <w:style w:type="character" w:customStyle="1" w:styleId="AsuntodelcomentarioCar">
    <w:name w:val="Asunto del comentario Car"/>
    <w:basedOn w:val="TextocomentarioCar"/>
    <w:link w:val="Asuntodelcomentario"/>
    <w:uiPriority w:val="99"/>
    <w:semiHidden/>
    <w:rsid w:val="00247949"/>
    <w:rPr>
      <w:b/>
      <w:bCs/>
    </w:rPr>
  </w:style>
  <w:style w:type="paragraph" w:styleId="Textodeglobo">
    <w:name w:val="Balloon Text"/>
    <w:basedOn w:val="Normal"/>
    <w:link w:val="TextodegloboCar"/>
    <w:uiPriority w:val="99"/>
    <w:semiHidden/>
    <w:unhideWhenUsed/>
    <w:rsid w:val="00247949"/>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949"/>
    <w:rPr>
      <w:rFonts w:ascii="Tahoma" w:hAnsi="Tahoma" w:cs="Tahoma"/>
      <w:sz w:val="16"/>
      <w:szCs w:val="16"/>
      <w:lang w:val="en-US" w:eastAsia="en-US"/>
    </w:rPr>
  </w:style>
  <w:style w:type="character" w:customStyle="1" w:styleId="PiedepginaCar">
    <w:name w:val="Pie de página Car"/>
    <w:basedOn w:val="Fuentedeprrafopredeter"/>
    <w:link w:val="Piedepgina"/>
    <w:uiPriority w:val="99"/>
    <w:rsid w:val="00AA02A9"/>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27</Pages>
  <Words>5534</Words>
  <Characters>30438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CHIRAL SEPARATION OF BENZODIAZEPINES BY CAPILLARY ELECTROPHORESIS USING HIGHLY SULFATED CYCLODEXTRINS</vt:lpstr>
    </vt:vector>
  </TitlesOfParts>
  <Company>VUB</Company>
  <LinksUpToDate>false</LinksUpToDate>
  <CharactersWithSpaces>35901</CharactersWithSpaces>
  <SharedDoc>false</SharedDoc>
  <HLinks>
    <vt:vector size="6" baseType="variant">
      <vt:variant>
        <vt:i4>7798789</vt:i4>
      </vt:variant>
      <vt:variant>
        <vt:i4>0</vt:i4>
      </vt:variant>
      <vt:variant>
        <vt:i4>0</vt:i4>
      </vt:variant>
      <vt:variant>
        <vt:i4>5</vt:i4>
      </vt:variant>
      <vt:variant>
        <vt:lpwstr>mailto:gvargasm@servidor.unam.mx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CHIRAL SEPARATION OF BENZODIAZEPINES BY CAPILLARY ELECTROPHORESIS USING HIGHLY SULFATED CYCLODEXTRINS</dc:title>
  <dc:creator>Fabi</dc:creator>
  <cp:lastModifiedBy>1</cp:lastModifiedBy>
  <cp:revision>19</cp:revision>
  <cp:lastPrinted>2004-01-14T21:43:00Z</cp:lastPrinted>
  <dcterms:created xsi:type="dcterms:W3CDTF">2017-11-30T21:50:00Z</dcterms:created>
  <dcterms:modified xsi:type="dcterms:W3CDTF">2017-12-01T15:18:00Z</dcterms:modified>
</cp:coreProperties>
</file>